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04" w:rsidRPr="009C4677" w:rsidRDefault="00026EA0" w:rsidP="00884E94">
      <w:pPr>
        <w:pStyle w:val="Logo"/>
        <w:spacing w:before="0"/>
        <w:ind w:left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Learning Matters: </w:t>
      </w:r>
      <w:r w:rsidR="00602478" w:rsidRPr="009C4677">
        <w:rPr>
          <w:b/>
          <w:sz w:val="24"/>
          <w:szCs w:val="24"/>
        </w:rPr>
        <w:t xml:space="preserve">Strengthening </w:t>
      </w:r>
      <w:r w:rsidR="00420E04" w:rsidRPr="009C4677">
        <w:rPr>
          <w:b/>
          <w:sz w:val="24"/>
          <w:szCs w:val="24"/>
        </w:rPr>
        <w:t xml:space="preserve">Core </w:t>
      </w:r>
      <w:r w:rsidR="00AC3A8F" w:rsidRPr="009C4677">
        <w:rPr>
          <w:b/>
          <w:sz w:val="24"/>
          <w:szCs w:val="24"/>
        </w:rPr>
        <w:t>Competency</w:t>
      </w:r>
      <w:r w:rsidR="0045369F" w:rsidRPr="009C4677">
        <w:rPr>
          <w:b/>
          <w:sz w:val="24"/>
          <w:szCs w:val="24"/>
        </w:rPr>
        <w:t xml:space="preserve"> and Communication </w:t>
      </w:r>
      <w:r w:rsidR="00AC3A8F" w:rsidRPr="009C4677">
        <w:rPr>
          <w:b/>
          <w:sz w:val="24"/>
          <w:szCs w:val="24"/>
        </w:rPr>
        <w:t xml:space="preserve">Ability Learning </w:t>
      </w:r>
    </w:p>
    <w:bookmarkEnd w:id="0"/>
    <w:p w:rsidR="00DD6114" w:rsidRPr="009C4677" w:rsidRDefault="0045369F" w:rsidP="00884E94">
      <w:pPr>
        <w:pStyle w:val="Logo"/>
        <w:spacing w:before="0"/>
        <w:ind w:left="0"/>
        <w:jc w:val="center"/>
        <w:rPr>
          <w:b/>
          <w:sz w:val="24"/>
          <w:szCs w:val="24"/>
        </w:rPr>
      </w:pPr>
      <w:r w:rsidRPr="009C4677">
        <w:rPr>
          <w:b/>
          <w:sz w:val="24"/>
          <w:szCs w:val="24"/>
        </w:rPr>
        <w:t xml:space="preserve">Program-Based </w:t>
      </w:r>
      <w:r w:rsidR="00F03F0F" w:rsidRPr="009C4677">
        <w:rPr>
          <w:b/>
          <w:sz w:val="24"/>
          <w:szCs w:val="24"/>
        </w:rPr>
        <w:t>Mini</w:t>
      </w:r>
      <w:r w:rsidRPr="009C4677">
        <w:rPr>
          <w:b/>
          <w:sz w:val="24"/>
          <w:szCs w:val="24"/>
        </w:rPr>
        <w:t xml:space="preserve"> </w:t>
      </w:r>
      <w:r w:rsidR="00F03F0F" w:rsidRPr="009C4677">
        <w:rPr>
          <w:b/>
          <w:sz w:val="24"/>
          <w:szCs w:val="24"/>
        </w:rPr>
        <w:t xml:space="preserve">Grant </w:t>
      </w:r>
      <w:r w:rsidR="00904806" w:rsidRPr="009C4677">
        <w:rPr>
          <w:b/>
          <w:sz w:val="24"/>
          <w:szCs w:val="24"/>
        </w:rPr>
        <w:t>Application</w:t>
      </w:r>
      <w:r w:rsidR="005115D4" w:rsidRPr="009C4677">
        <w:rPr>
          <w:b/>
          <w:sz w:val="24"/>
          <w:szCs w:val="24"/>
        </w:rPr>
        <w:t xml:space="preserve"> for </w:t>
      </w:r>
      <w:r w:rsidR="00AC3A8F" w:rsidRPr="009C4677">
        <w:rPr>
          <w:b/>
          <w:sz w:val="24"/>
          <w:szCs w:val="24"/>
        </w:rPr>
        <w:t>2017-2018</w:t>
      </w:r>
    </w:p>
    <w:p w:rsidR="0045369F" w:rsidRPr="00174525" w:rsidRDefault="0045369F" w:rsidP="00F60E23">
      <w:pPr>
        <w:pStyle w:val="Logo"/>
        <w:ind w:left="0"/>
        <w:jc w:val="center"/>
        <w:rPr>
          <w:sz w:val="22"/>
          <w:szCs w:val="22"/>
        </w:rPr>
      </w:pPr>
    </w:p>
    <w:p w:rsidR="00201EFA" w:rsidRDefault="00201EFA" w:rsidP="00884E94">
      <w:pPr>
        <w:spacing w:before="0" w:after="0"/>
        <w:ind w:left="0"/>
        <w:rPr>
          <w:sz w:val="22"/>
          <w:szCs w:val="22"/>
        </w:rPr>
      </w:pPr>
      <w:r>
        <w:rPr>
          <w:sz w:val="22"/>
          <w:szCs w:val="22"/>
        </w:rPr>
        <w:t>LaGuardia has identified the Learning Matters Core Competencies to help every student, across majors, develop the capacities needed for success in 21</w:t>
      </w:r>
      <w:r w:rsidRPr="00201EF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century education and career.  Gene</w:t>
      </w:r>
      <w:r w:rsidR="00234CD7">
        <w:rPr>
          <w:sz w:val="22"/>
          <w:szCs w:val="22"/>
        </w:rPr>
        <w:t>rated through a 3-year, college-</w:t>
      </w:r>
      <w:r>
        <w:rPr>
          <w:sz w:val="22"/>
          <w:szCs w:val="22"/>
        </w:rPr>
        <w:t>wide process involving hundreds of faculty and staff, the Competencies and Abilities are recursively built, reinforced, and assessed in disciplinary majors as well as General Education courses.</w:t>
      </w:r>
    </w:p>
    <w:p w:rsidR="00201EFA" w:rsidRDefault="00201EFA" w:rsidP="00884E94">
      <w:pPr>
        <w:spacing w:before="0" w:after="0"/>
        <w:ind w:left="0"/>
        <w:rPr>
          <w:sz w:val="22"/>
          <w:szCs w:val="22"/>
        </w:rPr>
      </w:pPr>
    </w:p>
    <w:p w:rsidR="00C94380" w:rsidRDefault="00201EFA" w:rsidP="00884E94">
      <w:pPr>
        <w:spacing w:before="0" w:after="0"/>
        <w:ind w:left="0"/>
        <w:rPr>
          <w:sz w:val="22"/>
          <w:szCs w:val="22"/>
        </w:rPr>
      </w:pPr>
      <w:r>
        <w:rPr>
          <w:sz w:val="22"/>
          <w:szCs w:val="22"/>
        </w:rPr>
        <w:t>The</w:t>
      </w:r>
      <w:r w:rsidR="00234CD7">
        <w:rPr>
          <w:sz w:val="22"/>
          <w:szCs w:val="22"/>
        </w:rPr>
        <w:t xml:space="preserve"> LaGuardia Center for Teaching and</w:t>
      </w:r>
      <w:r>
        <w:rPr>
          <w:sz w:val="22"/>
          <w:szCs w:val="22"/>
        </w:rPr>
        <w:t xml:space="preserve"> Learning is pleased to </w:t>
      </w:r>
      <w:r w:rsidR="00884E94">
        <w:rPr>
          <w:sz w:val="22"/>
          <w:szCs w:val="22"/>
        </w:rPr>
        <w:t xml:space="preserve">invite program directors and discipline faculty to apply for its </w:t>
      </w:r>
      <w:r>
        <w:rPr>
          <w:sz w:val="22"/>
          <w:szCs w:val="22"/>
        </w:rPr>
        <w:t>2017-18 Learning Matters Mini-Grants</w:t>
      </w:r>
      <w:r w:rsidR="00884E94">
        <w:rPr>
          <w:sz w:val="22"/>
          <w:szCs w:val="22"/>
        </w:rPr>
        <w:t>, which seek</w:t>
      </w:r>
      <w:r>
        <w:rPr>
          <w:sz w:val="22"/>
          <w:szCs w:val="22"/>
        </w:rPr>
        <w:t xml:space="preserve"> to </w:t>
      </w:r>
      <w:r w:rsidR="00C94380" w:rsidRPr="00B451A1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faculty </w:t>
      </w:r>
      <w:r w:rsidR="00C94380" w:rsidRPr="00B451A1">
        <w:rPr>
          <w:sz w:val="22"/>
          <w:szCs w:val="22"/>
        </w:rPr>
        <w:t>enga</w:t>
      </w:r>
      <w:r w:rsidR="00C94380">
        <w:rPr>
          <w:sz w:val="22"/>
          <w:szCs w:val="22"/>
        </w:rPr>
        <w:t xml:space="preserve">gement, design, and </w:t>
      </w:r>
      <w:r w:rsidR="008D585E">
        <w:rPr>
          <w:sz w:val="22"/>
          <w:szCs w:val="22"/>
        </w:rPr>
        <w:t xml:space="preserve">creativity </w:t>
      </w:r>
      <w:r>
        <w:rPr>
          <w:sz w:val="22"/>
          <w:szCs w:val="22"/>
        </w:rPr>
        <w:t>to encourage student learning related to the thr</w:t>
      </w:r>
      <w:r w:rsidR="00234CD7">
        <w:rPr>
          <w:sz w:val="22"/>
          <w:szCs w:val="22"/>
        </w:rPr>
        <w:t xml:space="preserve">ee Core Competencies (Inquiry and </w:t>
      </w:r>
      <w:r>
        <w:rPr>
          <w:sz w:val="22"/>
          <w:szCs w:val="22"/>
        </w:rPr>
        <w:t>Problem-Solving, Global Learning, and Integrative Learning) and the related Communication Abilities (Written, Oral, and Digital Communication).   If you are interested</w:t>
      </w:r>
      <w:r w:rsidR="00884E94">
        <w:rPr>
          <w:sz w:val="22"/>
          <w:szCs w:val="22"/>
        </w:rPr>
        <w:t xml:space="preserve"> in considering this opportunity to strengthen student learning in your area, please read this </w:t>
      </w:r>
      <w:r w:rsidR="00234CD7">
        <w:rPr>
          <w:sz w:val="22"/>
          <w:szCs w:val="22"/>
        </w:rPr>
        <w:t>application and related materials</w:t>
      </w:r>
      <w:r w:rsidR="00884E94">
        <w:rPr>
          <w:sz w:val="22"/>
          <w:szCs w:val="22"/>
        </w:rPr>
        <w:t>.</w:t>
      </w:r>
    </w:p>
    <w:p w:rsidR="00C94380" w:rsidRDefault="00C94380" w:rsidP="00884E94">
      <w:pPr>
        <w:spacing w:before="0" w:after="0"/>
        <w:ind w:left="0"/>
        <w:rPr>
          <w:sz w:val="22"/>
          <w:szCs w:val="22"/>
        </w:rPr>
      </w:pPr>
    </w:p>
    <w:p w:rsidR="00B451A1" w:rsidRDefault="00EE4933" w:rsidP="00884E94">
      <w:pPr>
        <w:spacing w:before="0" w:after="0"/>
        <w:ind w:left="0"/>
        <w:rPr>
          <w:sz w:val="22"/>
          <w:szCs w:val="22"/>
        </w:rPr>
      </w:pPr>
      <w:r w:rsidRPr="00174525">
        <w:rPr>
          <w:sz w:val="22"/>
          <w:szCs w:val="22"/>
        </w:rPr>
        <w:t xml:space="preserve">In </w:t>
      </w:r>
      <w:r w:rsidR="008D585E">
        <w:rPr>
          <w:sz w:val="22"/>
          <w:szCs w:val="22"/>
        </w:rPr>
        <w:t>February 2017</w:t>
      </w:r>
      <w:r w:rsidRPr="00174525">
        <w:rPr>
          <w:sz w:val="22"/>
          <w:szCs w:val="22"/>
        </w:rPr>
        <w:t xml:space="preserve">, </w:t>
      </w:r>
      <w:r w:rsidR="008F1332">
        <w:rPr>
          <w:sz w:val="22"/>
          <w:szCs w:val="22"/>
        </w:rPr>
        <w:t>90</w:t>
      </w:r>
      <w:r w:rsidRPr="00174525">
        <w:rPr>
          <w:sz w:val="22"/>
          <w:szCs w:val="22"/>
        </w:rPr>
        <w:t xml:space="preserve"> faculty participated in </w:t>
      </w:r>
      <w:r w:rsidR="00234CD7">
        <w:rPr>
          <w:sz w:val="22"/>
          <w:szCs w:val="22"/>
        </w:rPr>
        <w:t>college-</w:t>
      </w:r>
      <w:r w:rsidR="00884E94">
        <w:rPr>
          <w:sz w:val="22"/>
          <w:szCs w:val="22"/>
        </w:rPr>
        <w:t xml:space="preserve">wide </w:t>
      </w:r>
      <w:r w:rsidRPr="00174525">
        <w:rPr>
          <w:sz w:val="22"/>
          <w:szCs w:val="22"/>
        </w:rPr>
        <w:t>Benchmark Reading</w:t>
      </w:r>
      <w:r w:rsidR="00884E94">
        <w:rPr>
          <w:sz w:val="22"/>
          <w:szCs w:val="22"/>
        </w:rPr>
        <w:t>s</w:t>
      </w:r>
      <w:r w:rsidRPr="00174525">
        <w:rPr>
          <w:sz w:val="22"/>
          <w:szCs w:val="22"/>
        </w:rPr>
        <w:t xml:space="preserve">, </w:t>
      </w:r>
      <w:r w:rsidR="00712CDA">
        <w:rPr>
          <w:sz w:val="22"/>
          <w:szCs w:val="22"/>
        </w:rPr>
        <w:t xml:space="preserve">utilizing </w:t>
      </w:r>
      <w:r w:rsidR="00884E94">
        <w:rPr>
          <w:sz w:val="22"/>
          <w:szCs w:val="22"/>
        </w:rPr>
        <w:t xml:space="preserve">faculty-generated </w:t>
      </w:r>
      <w:r w:rsidR="007B4DC7">
        <w:rPr>
          <w:sz w:val="22"/>
          <w:szCs w:val="22"/>
        </w:rPr>
        <w:t>r</w:t>
      </w:r>
      <w:r w:rsidRPr="00174525">
        <w:rPr>
          <w:sz w:val="22"/>
          <w:szCs w:val="22"/>
        </w:rPr>
        <w:t xml:space="preserve">ubrics to evaluate student </w:t>
      </w:r>
      <w:r w:rsidR="00712CDA">
        <w:rPr>
          <w:sz w:val="22"/>
          <w:szCs w:val="22"/>
        </w:rPr>
        <w:t>development</w:t>
      </w:r>
      <w:r w:rsidR="00884E94">
        <w:rPr>
          <w:sz w:val="22"/>
          <w:szCs w:val="22"/>
        </w:rPr>
        <w:t>.  College</w:t>
      </w:r>
      <w:r w:rsidR="00234CD7">
        <w:rPr>
          <w:sz w:val="22"/>
          <w:szCs w:val="22"/>
        </w:rPr>
        <w:t>-</w:t>
      </w:r>
      <w:r w:rsidR="00884E94">
        <w:rPr>
          <w:sz w:val="22"/>
          <w:szCs w:val="22"/>
        </w:rPr>
        <w:t xml:space="preserve">wide </w:t>
      </w:r>
      <w:r w:rsidR="00B451A1">
        <w:rPr>
          <w:sz w:val="22"/>
          <w:szCs w:val="22"/>
        </w:rPr>
        <w:t xml:space="preserve">scores </w:t>
      </w:r>
      <w:r w:rsidR="00884E94">
        <w:rPr>
          <w:sz w:val="22"/>
          <w:szCs w:val="22"/>
        </w:rPr>
        <w:t xml:space="preserve">are being finalized and </w:t>
      </w:r>
      <w:r w:rsidR="00B451A1">
        <w:rPr>
          <w:sz w:val="22"/>
          <w:szCs w:val="22"/>
        </w:rPr>
        <w:t xml:space="preserve">will </w:t>
      </w:r>
      <w:r w:rsidR="0045369F" w:rsidRPr="00174525">
        <w:rPr>
          <w:sz w:val="22"/>
          <w:szCs w:val="22"/>
        </w:rPr>
        <w:t xml:space="preserve">be distributed soon.  </w:t>
      </w:r>
      <w:r w:rsidR="00884E94">
        <w:rPr>
          <w:sz w:val="22"/>
          <w:szCs w:val="22"/>
        </w:rPr>
        <w:t xml:space="preserve">Already, </w:t>
      </w:r>
      <w:r w:rsidR="0045369F" w:rsidRPr="00174525">
        <w:rPr>
          <w:sz w:val="22"/>
          <w:szCs w:val="22"/>
        </w:rPr>
        <w:t xml:space="preserve">preliminary </w:t>
      </w:r>
      <w:r w:rsidR="00E36F88" w:rsidRPr="00174525">
        <w:rPr>
          <w:sz w:val="22"/>
          <w:szCs w:val="22"/>
        </w:rPr>
        <w:t xml:space="preserve">analysis revealed </w:t>
      </w:r>
      <w:r w:rsidRPr="00174525">
        <w:rPr>
          <w:sz w:val="22"/>
          <w:szCs w:val="22"/>
        </w:rPr>
        <w:t xml:space="preserve">that, although </w:t>
      </w:r>
      <w:r w:rsidR="008D585E">
        <w:rPr>
          <w:sz w:val="22"/>
          <w:szCs w:val="22"/>
        </w:rPr>
        <w:t xml:space="preserve">highly </w:t>
      </w:r>
      <w:r w:rsidR="00884E94">
        <w:rPr>
          <w:sz w:val="22"/>
          <w:szCs w:val="22"/>
        </w:rPr>
        <w:t xml:space="preserve">significant </w:t>
      </w:r>
      <w:r w:rsidRPr="00174525">
        <w:rPr>
          <w:sz w:val="22"/>
          <w:szCs w:val="22"/>
        </w:rPr>
        <w:t>progress has been made since our June 2016 Benchmark Readings</w:t>
      </w:r>
      <w:r w:rsidR="00712CDA">
        <w:rPr>
          <w:sz w:val="22"/>
          <w:szCs w:val="22"/>
        </w:rPr>
        <w:t xml:space="preserve">, </w:t>
      </w:r>
      <w:r w:rsidR="00884E94">
        <w:rPr>
          <w:sz w:val="22"/>
          <w:szCs w:val="22"/>
        </w:rPr>
        <w:t xml:space="preserve">there is more work to be done to develop and broadly implement assignments that </w:t>
      </w:r>
      <w:r w:rsidR="008D585E">
        <w:rPr>
          <w:sz w:val="22"/>
          <w:szCs w:val="22"/>
        </w:rPr>
        <w:t xml:space="preserve">effectively </w:t>
      </w:r>
      <w:r w:rsidR="00884E94">
        <w:rPr>
          <w:sz w:val="22"/>
          <w:szCs w:val="22"/>
        </w:rPr>
        <w:t>build student learning in key areas</w:t>
      </w:r>
      <w:r w:rsidR="0045369F" w:rsidRPr="00174525">
        <w:rPr>
          <w:sz w:val="22"/>
          <w:szCs w:val="22"/>
        </w:rPr>
        <w:t xml:space="preserve">.  </w:t>
      </w:r>
    </w:p>
    <w:p w:rsidR="0045369F" w:rsidRPr="00174525" w:rsidRDefault="0045369F" w:rsidP="00884E94">
      <w:pPr>
        <w:spacing w:before="0" w:after="0"/>
        <w:ind w:left="0"/>
        <w:rPr>
          <w:sz w:val="22"/>
          <w:szCs w:val="22"/>
        </w:rPr>
      </w:pPr>
    </w:p>
    <w:p w:rsidR="00B451A1" w:rsidRDefault="00884E94" w:rsidP="00884E94">
      <w:pPr>
        <w:spacing w:before="0"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CTL </w:t>
      </w:r>
      <w:r w:rsidR="00A27EFB" w:rsidRPr="00174525">
        <w:rPr>
          <w:sz w:val="22"/>
          <w:szCs w:val="22"/>
        </w:rPr>
        <w:t>i</w:t>
      </w:r>
      <w:r w:rsidR="002B1850">
        <w:rPr>
          <w:sz w:val="22"/>
          <w:szCs w:val="22"/>
        </w:rPr>
        <w:t>s offering</w:t>
      </w:r>
      <w:r w:rsidR="00AE2700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AE2700">
        <w:rPr>
          <w:sz w:val="22"/>
          <w:szCs w:val="22"/>
        </w:rPr>
        <w:t>ini-</w:t>
      </w:r>
      <w:r>
        <w:rPr>
          <w:sz w:val="22"/>
          <w:szCs w:val="22"/>
        </w:rPr>
        <w:t>G</w:t>
      </w:r>
      <w:r w:rsidR="00794DD7" w:rsidRPr="00174525">
        <w:rPr>
          <w:sz w:val="22"/>
          <w:szCs w:val="22"/>
        </w:rPr>
        <w:t>rant</w:t>
      </w:r>
      <w:r w:rsidR="00504027" w:rsidRPr="00174525">
        <w:rPr>
          <w:sz w:val="22"/>
          <w:szCs w:val="22"/>
        </w:rPr>
        <w:t>s</w:t>
      </w:r>
      <w:r w:rsidR="00A27EFB" w:rsidRPr="00174525">
        <w:rPr>
          <w:sz w:val="22"/>
          <w:szCs w:val="22"/>
        </w:rPr>
        <w:t xml:space="preserve"> of </w:t>
      </w:r>
      <w:r w:rsidR="00AB15FC" w:rsidRPr="00174525">
        <w:rPr>
          <w:sz w:val="22"/>
          <w:szCs w:val="22"/>
        </w:rPr>
        <w:t xml:space="preserve">up to </w:t>
      </w:r>
      <w:r w:rsidR="00A27EFB" w:rsidRPr="00174525">
        <w:rPr>
          <w:sz w:val="22"/>
          <w:szCs w:val="22"/>
        </w:rPr>
        <w:t>$7</w:t>
      </w:r>
      <w:r w:rsidR="007B4DC7">
        <w:rPr>
          <w:sz w:val="22"/>
          <w:szCs w:val="22"/>
        </w:rPr>
        <w:t>,</w:t>
      </w:r>
      <w:r w:rsidR="00A27EFB" w:rsidRPr="00174525">
        <w:rPr>
          <w:sz w:val="22"/>
          <w:szCs w:val="22"/>
        </w:rPr>
        <w:t>500</w:t>
      </w:r>
      <w:r>
        <w:rPr>
          <w:sz w:val="22"/>
          <w:szCs w:val="22"/>
        </w:rPr>
        <w:t xml:space="preserve"> to </w:t>
      </w:r>
      <w:r w:rsidR="00A27EFB" w:rsidRPr="00174525">
        <w:rPr>
          <w:sz w:val="22"/>
          <w:szCs w:val="22"/>
        </w:rPr>
        <w:t xml:space="preserve">support program-led efforts to </w:t>
      </w:r>
      <w:r>
        <w:rPr>
          <w:sz w:val="22"/>
          <w:szCs w:val="22"/>
        </w:rPr>
        <w:t xml:space="preserve">strengthen the integration of </w:t>
      </w:r>
      <w:r w:rsidR="00A27EFB" w:rsidRPr="00174525">
        <w:rPr>
          <w:sz w:val="22"/>
          <w:szCs w:val="22"/>
        </w:rPr>
        <w:t>Core Competencies and</w:t>
      </w:r>
      <w:r w:rsidR="00340ECF" w:rsidRPr="00174525">
        <w:rPr>
          <w:sz w:val="22"/>
          <w:szCs w:val="22"/>
        </w:rPr>
        <w:t xml:space="preserve"> Communication</w:t>
      </w:r>
      <w:r w:rsidR="00A27EFB" w:rsidRPr="00174525">
        <w:rPr>
          <w:sz w:val="22"/>
          <w:szCs w:val="22"/>
        </w:rPr>
        <w:t xml:space="preserve"> Abilities into courses</w:t>
      </w:r>
      <w:r w:rsidR="00340ECF" w:rsidRPr="00174525">
        <w:rPr>
          <w:sz w:val="22"/>
          <w:szCs w:val="22"/>
        </w:rPr>
        <w:t xml:space="preserve"> and </w:t>
      </w:r>
      <w:r>
        <w:rPr>
          <w:sz w:val="22"/>
          <w:szCs w:val="22"/>
        </w:rPr>
        <w:t>curricula</w:t>
      </w:r>
      <w:r w:rsidR="00340ECF" w:rsidRPr="00174525">
        <w:rPr>
          <w:sz w:val="22"/>
          <w:szCs w:val="22"/>
        </w:rPr>
        <w:t xml:space="preserve">.  </w:t>
      </w:r>
      <w:r w:rsidR="00E44D6A" w:rsidRPr="00174525">
        <w:rPr>
          <w:sz w:val="22"/>
          <w:szCs w:val="22"/>
        </w:rPr>
        <w:t>Program faculty</w:t>
      </w:r>
      <w:r>
        <w:rPr>
          <w:sz w:val="22"/>
          <w:szCs w:val="22"/>
        </w:rPr>
        <w:t xml:space="preserve"> (</w:t>
      </w:r>
      <w:r w:rsidR="00504027" w:rsidRPr="00174525">
        <w:rPr>
          <w:sz w:val="22"/>
          <w:szCs w:val="22"/>
        </w:rPr>
        <w:t xml:space="preserve">or teams of </w:t>
      </w:r>
      <w:r w:rsidR="00504027" w:rsidRPr="00CC568A">
        <w:rPr>
          <w:sz w:val="22"/>
          <w:szCs w:val="22"/>
        </w:rPr>
        <w:t xml:space="preserve">faculty teaching courses designated for depositing by the Liberal </w:t>
      </w:r>
      <w:r w:rsidR="00EE4933" w:rsidRPr="00CC568A">
        <w:rPr>
          <w:sz w:val="22"/>
          <w:szCs w:val="22"/>
        </w:rPr>
        <w:t xml:space="preserve">Arts </w:t>
      </w:r>
      <w:r w:rsidRPr="00CC568A">
        <w:rPr>
          <w:sz w:val="22"/>
          <w:szCs w:val="22"/>
        </w:rPr>
        <w:t xml:space="preserve">chairs: </w:t>
      </w:r>
      <w:r w:rsidR="002B1850" w:rsidRPr="00CC568A">
        <w:rPr>
          <w:sz w:val="22"/>
          <w:szCs w:val="22"/>
        </w:rPr>
        <w:t>see list</w:t>
      </w:r>
      <w:r w:rsidR="007B471A">
        <w:rPr>
          <w:sz w:val="22"/>
          <w:szCs w:val="22"/>
        </w:rPr>
        <w:t xml:space="preserve"> below</w:t>
      </w:r>
      <w:r w:rsidR="008F1332" w:rsidRPr="00CC568A">
        <w:rPr>
          <w:sz w:val="22"/>
          <w:szCs w:val="22"/>
        </w:rPr>
        <w:t>)</w:t>
      </w:r>
      <w:r w:rsidRPr="00CC568A">
        <w:rPr>
          <w:sz w:val="22"/>
          <w:szCs w:val="22"/>
        </w:rPr>
        <w:t xml:space="preserve"> </w:t>
      </w:r>
      <w:r w:rsidR="008F1332" w:rsidRPr="00CC568A">
        <w:rPr>
          <w:sz w:val="22"/>
          <w:szCs w:val="22"/>
        </w:rPr>
        <w:t xml:space="preserve">who </w:t>
      </w:r>
      <w:r w:rsidR="00EE4933" w:rsidRPr="00CC568A">
        <w:rPr>
          <w:sz w:val="22"/>
          <w:szCs w:val="22"/>
        </w:rPr>
        <w:t xml:space="preserve">wish to apply should develop a </w:t>
      </w:r>
      <w:r w:rsidR="00B451A1" w:rsidRPr="00CC568A">
        <w:rPr>
          <w:sz w:val="22"/>
          <w:szCs w:val="22"/>
        </w:rPr>
        <w:t xml:space="preserve">year-long </w:t>
      </w:r>
      <w:r w:rsidR="00EE4933" w:rsidRPr="00CC568A">
        <w:rPr>
          <w:sz w:val="22"/>
          <w:szCs w:val="22"/>
        </w:rPr>
        <w:t>plan</w:t>
      </w:r>
      <w:r w:rsidR="00EE4933" w:rsidRPr="001745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design, test, and disseminate </w:t>
      </w:r>
      <w:r w:rsidR="00B451A1">
        <w:rPr>
          <w:sz w:val="22"/>
          <w:szCs w:val="22"/>
        </w:rPr>
        <w:t xml:space="preserve">assignments that encourage the development of students’ Core Competencies and Abilities. </w:t>
      </w:r>
      <w:r w:rsidR="00AE2700">
        <w:rPr>
          <w:sz w:val="22"/>
          <w:szCs w:val="22"/>
        </w:rPr>
        <w:t>S</w:t>
      </w:r>
      <w:r w:rsidR="00B451A1">
        <w:rPr>
          <w:sz w:val="22"/>
          <w:szCs w:val="22"/>
        </w:rPr>
        <w:t xml:space="preserve">teps for achieving these goals, supported by mini-grant funds, are outlined below. </w:t>
      </w:r>
    </w:p>
    <w:p w:rsidR="00340ECF" w:rsidRPr="00174525" w:rsidRDefault="00340ECF" w:rsidP="00884E94">
      <w:pPr>
        <w:spacing w:before="0" w:after="0"/>
        <w:ind w:left="0"/>
        <w:rPr>
          <w:sz w:val="22"/>
          <w:szCs w:val="22"/>
        </w:rPr>
      </w:pPr>
    </w:p>
    <w:p w:rsidR="0010676D" w:rsidRPr="002B1850" w:rsidRDefault="00AE2700" w:rsidP="009C4677">
      <w:pPr>
        <w:spacing w:before="0" w:after="120"/>
        <w:ind w:left="0"/>
        <w:rPr>
          <w:sz w:val="22"/>
          <w:szCs w:val="22"/>
        </w:rPr>
      </w:pPr>
      <w:r>
        <w:rPr>
          <w:sz w:val="22"/>
          <w:szCs w:val="22"/>
        </w:rPr>
        <w:t>Requirements for Mini-</w:t>
      </w:r>
      <w:r w:rsidR="007B4DC7">
        <w:rPr>
          <w:sz w:val="22"/>
          <w:szCs w:val="22"/>
        </w:rPr>
        <w:t>Grant Applications:</w:t>
      </w:r>
    </w:p>
    <w:p w:rsidR="00EE4933" w:rsidRPr="00174525" w:rsidRDefault="00EE4933" w:rsidP="009C4677">
      <w:pPr>
        <w:pStyle w:val="ListParagraph"/>
        <w:numPr>
          <w:ilvl w:val="0"/>
          <w:numId w:val="27"/>
        </w:numPr>
        <w:spacing w:after="120" w:line="240" w:lineRule="auto"/>
        <w:contextualSpacing w:val="0"/>
      </w:pPr>
      <w:r w:rsidRPr="00174525">
        <w:t xml:space="preserve">Curricular maps and courses designated for depositing </w:t>
      </w:r>
      <w:r w:rsidR="007B4DC7">
        <w:t>will be reviewed to ensure alignment</w:t>
      </w:r>
      <w:r w:rsidRPr="00174525">
        <w:t xml:space="preserve"> with program and course learning objectives; </w:t>
      </w:r>
    </w:p>
    <w:p w:rsidR="00C81145" w:rsidRPr="00174525" w:rsidRDefault="00EE4933" w:rsidP="009C4677">
      <w:pPr>
        <w:pStyle w:val="ListParagraph"/>
        <w:numPr>
          <w:ilvl w:val="0"/>
          <w:numId w:val="27"/>
        </w:numPr>
        <w:spacing w:after="120" w:line="240" w:lineRule="auto"/>
        <w:contextualSpacing w:val="0"/>
      </w:pPr>
      <w:r w:rsidRPr="00174525">
        <w:t>P</w:t>
      </w:r>
      <w:r w:rsidR="00602478" w:rsidRPr="00174525">
        <w:t xml:space="preserve">rogram-based norming sessions and benchmark readings </w:t>
      </w:r>
      <w:r w:rsidR="007B4DC7">
        <w:t xml:space="preserve">will be </w:t>
      </w:r>
      <w:r w:rsidRPr="00174525">
        <w:t xml:space="preserve">conducted </w:t>
      </w:r>
      <w:r w:rsidR="00602478" w:rsidRPr="00174525">
        <w:t xml:space="preserve">with guidance from </w:t>
      </w:r>
      <w:r w:rsidRPr="00174525">
        <w:t xml:space="preserve">the </w:t>
      </w:r>
      <w:r w:rsidR="00AE2700">
        <w:t xml:space="preserve">college’s </w:t>
      </w:r>
      <w:r w:rsidRPr="00174525">
        <w:t>Assessment Leadership</w:t>
      </w:r>
      <w:r w:rsidR="002B1850">
        <w:t xml:space="preserve"> </w:t>
      </w:r>
      <w:r w:rsidRPr="00174525">
        <w:t>Team</w:t>
      </w:r>
      <w:r w:rsidR="00602478" w:rsidRPr="00174525">
        <w:t xml:space="preserve"> and </w:t>
      </w:r>
      <w:r w:rsidRPr="00174525">
        <w:t xml:space="preserve">the CTL. </w:t>
      </w:r>
      <w:r w:rsidR="00602478" w:rsidRPr="00174525">
        <w:t xml:space="preserve"> </w:t>
      </w:r>
    </w:p>
    <w:p w:rsidR="002B1850" w:rsidRPr="00174525" w:rsidRDefault="00EE4933" w:rsidP="009C4677">
      <w:pPr>
        <w:pStyle w:val="ListParagraph"/>
        <w:numPr>
          <w:ilvl w:val="0"/>
          <w:numId w:val="27"/>
        </w:numPr>
        <w:spacing w:after="120" w:line="240" w:lineRule="auto"/>
        <w:contextualSpacing w:val="0"/>
      </w:pPr>
      <w:r w:rsidRPr="00174525">
        <w:t xml:space="preserve">Teams </w:t>
      </w:r>
      <w:r w:rsidR="007B4DC7">
        <w:t xml:space="preserve">will </w:t>
      </w:r>
      <w:r w:rsidR="0010676D" w:rsidRPr="00174525">
        <w:t>submit</w:t>
      </w:r>
      <w:r w:rsidR="00602478" w:rsidRPr="00174525">
        <w:t xml:space="preserve"> </w:t>
      </w:r>
      <w:r w:rsidRPr="00174525">
        <w:t xml:space="preserve">at least two fully revised </w:t>
      </w:r>
      <w:r w:rsidR="00602478" w:rsidRPr="00174525">
        <w:t>assignme</w:t>
      </w:r>
      <w:r w:rsidRPr="00174525">
        <w:t>n</w:t>
      </w:r>
      <w:r w:rsidR="00602478" w:rsidRPr="00174525">
        <w:t>t</w:t>
      </w:r>
      <w:r w:rsidRPr="00174525">
        <w:t xml:space="preserve">s </w:t>
      </w:r>
      <w:r w:rsidR="0010676D" w:rsidRPr="00174525">
        <w:t>for</w:t>
      </w:r>
      <w:r w:rsidR="00602478" w:rsidRPr="00174525">
        <w:t xml:space="preserve"> the Learning Matters Assignment Library</w:t>
      </w:r>
      <w:r w:rsidRPr="00174525">
        <w:t xml:space="preserve"> (see attached template)</w:t>
      </w:r>
      <w:r w:rsidR="002B1850">
        <w:t>.</w:t>
      </w:r>
    </w:p>
    <w:p w:rsidR="00A27EFB" w:rsidRDefault="007B4DC7" w:rsidP="009C4677">
      <w:pPr>
        <w:pStyle w:val="ListParagraph"/>
        <w:numPr>
          <w:ilvl w:val="0"/>
          <w:numId w:val="27"/>
        </w:numPr>
        <w:spacing w:after="120" w:line="240" w:lineRule="auto"/>
        <w:contextualSpacing w:val="0"/>
      </w:pPr>
      <w:r>
        <w:t>Teams will ensure that s</w:t>
      </w:r>
      <w:r w:rsidR="00EE4933" w:rsidRPr="00174525">
        <w:t>tudent work created in response to the revised or</w:t>
      </w:r>
      <w:r>
        <w:t xml:space="preserve"> newly developed assignments will be </w:t>
      </w:r>
      <w:r w:rsidR="00EE4933" w:rsidRPr="00174525">
        <w:t xml:space="preserve">deposited in the assessment area of the ePortfolio system. </w:t>
      </w:r>
    </w:p>
    <w:p w:rsidR="006D6244" w:rsidRDefault="007B4DC7" w:rsidP="00884E94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At least one team member will attend </w:t>
      </w:r>
      <w:r w:rsidR="002B1850">
        <w:t xml:space="preserve">quarterly mini-grant leaders’ meetings, dates TBA.  </w:t>
      </w:r>
    </w:p>
    <w:p w:rsidR="006D6244" w:rsidRDefault="006D6244" w:rsidP="006D6244">
      <w:pPr>
        <w:pStyle w:val="ListParagraph"/>
        <w:spacing w:after="0" w:line="240" w:lineRule="auto"/>
      </w:pPr>
    </w:p>
    <w:p w:rsidR="006D6244" w:rsidRPr="006D6244" w:rsidRDefault="006D6244" w:rsidP="006D6244">
      <w:pPr>
        <w:ind w:left="0"/>
        <w:rPr>
          <w:sz w:val="22"/>
          <w:szCs w:val="22"/>
        </w:rPr>
      </w:pPr>
      <w:r w:rsidRPr="006D6244">
        <w:rPr>
          <w:sz w:val="22"/>
          <w:szCs w:val="22"/>
        </w:rPr>
        <w:t>For more detail</w:t>
      </w:r>
      <w:r w:rsidR="009C4677">
        <w:rPr>
          <w:sz w:val="22"/>
          <w:szCs w:val="22"/>
        </w:rPr>
        <w:t>ed guidance</w:t>
      </w:r>
      <w:r w:rsidRPr="006D6244">
        <w:rPr>
          <w:sz w:val="22"/>
          <w:szCs w:val="22"/>
        </w:rPr>
        <w:t>,</w:t>
      </w:r>
      <w:r w:rsidR="002B1850" w:rsidRPr="006D6244">
        <w:rPr>
          <w:sz w:val="22"/>
          <w:szCs w:val="22"/>
        </w:rPr>
        <w:t xml:space="preserve"> </w:t>
      </w:r>
      <w:r w:rsidRPr="006D6244">
        <w:rPr>
          <w:sz w:val="22"/>
          <w:szCs w:val="22"/>
        </w:rPr>
        <w:t>please see the</w:t>
      </w:r>
      <w:r w:rsidR="00234CD7">
        <w:rPr>
          <w:sz w:val="22"/>
          <w:szCs w:val="22"/>
        </w:rPr>
        <w:t xml:space="preserve"> </w:t>
      </w:r>
      <w:r w:rsidRPr="006D6244">
        <w:rPr>
          <w:b/>
          <w:sz w:val="22"/>
          <w:szCs w:val="22"/>
          <w:u w:val="single"/>
        </w:rPr>
        <w:t>Suggested Steps for Mini Grant Projects</w:t>
      </w:r>
      <w:r>
        <w:rPr>
          <w:sz w:val="22"/>
          <w:szCs w:val="22"/>
        </w:rPr>
        <w:t xml:space="preserve"> </w:t>
      </w:r>
      <w:r w:rsidR="00116C50">
        <w:rPr>
          <w:sz w:val="22"/>
          <w:szCs w:val="22"/>
        </w:rPr>
        <w:t>below</w:t>
      </w:r>
      <w:r w:rsidR="00234C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consider how these steps would be </w:t>
      </w:r>
      <w:r w:rsidR="009C4677">
        <w:rPr>
          <w:sz w:val="22"/>
          <w:szCs w:val="22"/>
        </w:rPr>
        <w:t>adapted and applied in your Mini-Grant project.</w:t>
      </w:r>
    </w:p>
    <w:p w:rsidR="00395161" w:rsidRDefault="00395161" w:rsidP="00884E94">
      <w:pPr>
        <w:spacing w:before="0" w:after="0"/>
        <w:rPr>
          <w:sz w:val="22"/>
          <w:szCs w:val="22"/>
        </w:rPr>
      </w:pPr>
    </w:p>
    <w:p w:rsidR="00174525" w:rsidRDefault="00F60E23" w:rsidP="00884E94">
      <w:pPr>
        <w:spacing w:before="0" w:after="0"/>
        <w:rPr>
          <w:sz w:val="22"/>
          <w:szCs w:val="22"/>
        </w:rPr>
      </w:pPr>
      <w:r w:rsidRPr="00174525">
        <w:rPr>
          <w:sz w:val="22"/>
          <w:szCs w:val="22"/>
        </w:rPr>
        <w:t xml:space="preserve">To apply, </w:t>
      </w:r>
      <w:r w:rsidR="00E549B4" w:rsidRPr="00174525">
        <w:rPr>
          <w:sz w:val="22"/>
          <w:szCs w:val="22"/>
        </w:rPr>
        <w:t xml:space="preserve">please </w:t>
      </w:r>
      <w:r w:rsidR="00EE4933" w:rsidRPr="00174525">
        <w:rPr>
          <w:sz w:val="22"/>
          <w:szCs w:val="22"/>
        </w:rPr>
        <w:t>complete</w:t>
      </w:r>
      <w:r w:rsidR="00E549B4" w:rsidRPr="00174525">
        <w:rPr>
          <w:sz w:val="22"/>
          <w:szCs w:val="22"/>
        </w:rPr>
        <w:t xml:space="preserve"> th</w:t>
      </w:r>
      <w:r w:rsidR="006762C9">
        <w:rPr>
          <w:sz w:val="22"/>
          <w:szCs w:val="22"/>
        </w:rPr>
        <w:t>is</w:t>
      </w:r>
      <w:r w:rsidR="00E549B4" w:rsidRPr="00174525">
        <w:rPr>
          <w:sz w:val="22"/>
          <w:szCs w:val="22"/>
        </w:rPr>
        <w:t xml:space="preserve"> </w:t>
      </w:r>
      <w:r w:rsidR="00174525" w:rsidRPr="00174525">
        <w:rPr>
          <w:sz w:val="22"/>
          <w:szCs w:val="22"/>
        </w:rPr>
        <w:t xml:space="preserve">application </w:t>
      </w:r>
      <w:r w:rsidR="00174525">
        <w:rPr>
          <w:sz w:val="22"/>
          <w:szCs w:val="22"/>
        </w:rPr>
        <w:t xml:space="preserve">and </w:t>
      </w:r>
      <w:hyperlink r:id="rId9" w:history="1">
        <w:r w:rsidR="00174525" w:rsidRPr="00116C50">
          <w:rPr>
            <w:rStyle w:val="Hyperlink"/>
            <w:sz w:val="22"/>
            <w:szCs w:val="22"/>
          </w:rPr>
          <w:t>budget form</w:t>
        </w:r>
      </w:hyperlink>
      <w:r w:rsidR="00116C50">
        <w:rPr>
          <w:sz w:val="22"/>
          <w:szCs w:val="22"/>
        </w:rPr>
        <w:t xml:space="preserve"> </w:t>
      </w:r>
      <w:r w:rsidR="00234CD7">
        <w:rPr>
          <w:sz w:val="22"/>
          <w:szCs w:val="22"/>
        </w:rPr>
        <w:t>and send</w:t>
      </w:r>
      <w:r w:rsidR="00F80E2F">
        <w:rPr>
          <w:sz w:val="22"/>
          <w:szCs w:val="22"/>
        </w:rPr>
        <w:t xml:space="preserve"> </w:t>
      </w:r>
      <w:r w:rsidR="00234CD7">
        <w:rPr>
          <w:sz w:val="22"/>
          <w:szCs w:val="22"/>
        </w:rPr>
        <w:t xml:space="preserve">them </w:t>
      </w:r>
      <w:r w:rsidR="00F80E2F">
        <w:rPr>
          <w:sz w:val="22"/>
          <w:szCs w:val="22"/>
        </w:rPr>
        <w:t>to Ros Orgel (</w:t>
      </w:r>
      <w:hyperlink r:id="rId10" w:history="1">
        <w:r w:rsidR="00F80E2F" w:rsidRPr="00812FEB">
          <w:rPr>
            <w:rStyle w:val="Hyperlink"/>
            <w:sz w:val="22"/>
            <w:szCs w:val="22"/>
          </w:rPr>
          <w:t>roslyno@lagcc.cuny.edu</w:t>
        </w:r>
      </w:hyperlink>
      <w:r w:rsidR="00395161">
        <w:rPr>
          <w:sz w:val="22"/>
          <w:szCs w:val="22"/>
        </w:rPr>
        <w:t xml:space="preserve">) by </w:t>
      </w:r>
      <w:r w:rsidR="00395161" w:rsidRPr="00395161">
        <w:rPr>
          <w:b/>
          <w:sz w:val="22"/>
          <w:szCs w:val="22"/>
        </w:rPr>
        <w:t>May 19, 2017</w:t>
      </w:r>
      <w:r w:rsidR="00395161">
        <w:rPr>
          <w:b/>
          <w:sz w:val="22"/>
          <w:szCs w:val="22"/>
        </w:rPr>
        <w:t>.</w:t>
      </w:r>
    </w:p>
    <w:p w:rsidR="00395161" w:rsidRPr="00174525" w:rsidRDefault="00395161" w:rsidP="00884E94">
      <w:pPr>
        <w:spacing w:before="0" w:after="0"/>
        <w:rPr>
          <w:sz w:val="22"/>
          <w:szCs w:val="22"/>
        </w:rPr>
      </w:pPr>
    </w:p>
    <w:p w:rsidR="00C01418" w:rsidRPr="00174525" w:rsidRDefault="00C01418" w:rsidP="00884E94">
      <w:pPr>
        <w:spacing w:before="0" w:after="0"/>
        <w:rPr>
          <w:sz w:val="22"/>
          <w:szCs w:val="22"/>
        </w:rPr>
      </w:pPr>
    </w:p>
    <w:p w:rsidR="00C01418" w:rsidRPr="00174525" w:rsidRDefault="00C01418" w:rsidP="00884E94">
      <w:pPr>
        <w:spacing w:before="0" w:after="0"/>
        <w:rPr>
          <w:sz w:val="22"/>
          <w:szCs w:val="22"/>
        </w:rPr>
      </w:pPr>
    </w:p>
    <w:p w:rsidR="00170888" w:rsidRDefault="00170888" w:rsidP="00884E94">
      <w:pPr>
        <w:spacing w:before="0" w:after="0"/>
        <w:jc w:val="center"/>
        <w:rPr>
          <w:b/>
          <w:sz w:val="22"/>
          <w:szCs w:val="22"/>
        </w:rPr>
      </w:pPr>
    </w:p>
    <w:p w:rsidR="00170888" w:rsidRDefault="00170888" w:rsidP="00884E94">
      <w:pPr>
        <w:spacing w:before="0" w:after="0"/>
        <w:ind w:left="0" w:right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01418" w:rsidRPr="00174525" w:rsidRDefault="00C01418" w:rsidP="00C01418">
      <w:pPr>
        <w:jc w:val="center"/>
        <w:rPr>
          <w:b/>
          <w:sz w:val="22"/>
          <w:szCs w:val="22"/>
        </w:rPr>
      </w:pPr>
      <w:r w:rsidRPr="00174525">
        <w:rPr>
          <w:b/>
          <w:sz w:val="22"/>
          <w:szCs w:val="22"/>
        </w:rPr>
        <w:lastRenderedPageBreak/>
        <w:t xml:space="preserve">LaGuardia Community College </w:t>
      </w:r>
    </w:p>
    <w:p w:rsidR="00C01418" w:rsidRPr="00174525" w:rsidRDefault="00C01418" w:rsidP="00174525">
      <w:pPr>
        <w:jc w:val="center"/>
        <w:rPr>
          <w:b/>
          <w:sz w:val="22"/>
          <w:szCs w:val="22"/>
          <w:u w:val="single"/>
        </w:rPr>
      </w:pPr>
      <w:r w:rsidRPr="00174525">
        <w:rPr>
          <w:rFonts w:eastAsia="Calibri"/>
          <w:b/>
          <w:bCs/>
          <w:spacing w:val="1"/>
          <w:w w:val="99"/>
          <w:sz w:val="22"/>
          <w:szCs w:val="22"/>
        </w:rPr>
        <w:t>2017-2018</w:t>
      </w:r>
      <w:r w:rsidRPr="00174525">
        <w:rPr>
          <w:rFonts w:eastAsia="Calibri"/>
          <w:b/>
          <w:bCs/>
          <w:w w:val="99"/>
          <w:sz w:val="22"/>
          <w:szCs w:val="22"/>
        </w:rPr>
        <w:t xml:space="preserve"> Learning Matters </w:t>
      </w:r>
      <w:r w:rsidRPr="00174525">
        <w:rPr>
          <w:b/>
          <w:sz w:val="22"/>
          <w:szCs w:val="22"/>
        </w:rPr>
        <w:t>Mini-Grant Application</w:t>
      </w:r>
      <w:r w:rsidR="00174525">
        <w:rPr>
          <w:b/>
          <w:sz w:val="22"/>
          <w:szCs w:val="22"/>
        </w:rPr>
        <w:br/>
      </w:r>
    </w:p>
    <w:p w:rsidR="00C01418" w:rsidRPr="00174525" w:rsidRDefault="00C01418" w:rsidP="00C01418">
      <w:pPr>
        <w:rPr>
          <w:b/>
          <w:sz w:val="22"/>
          <w:szCs w:val="22"/>
        </w:rPr>
      </w:pPr>
      <w:r w:rsidRPr="00174525">
        <w:rPr>
          <w:b/>
          <w:sz w:val="22"/>
          <w:szCs w:val="22"/>
        </w:rPr>
        <w:t xml:space="preserve">Program/Department: </w:t>
      </w:r>
      <w:r w:rsidR="00174525">
        <w:rPr>
          <w:b/>
          <w:sz w:val="22"/>
          <w:szCs w:val="22"/>
        </w:rPr>
        <w:t xml:space="preserve">_______________________   </w:t>
      </w:r>
      <w:r w:rsidRPr="00174525">
        <w:rPr>
          <w:b/>
          <w:sz w:val="22"/>
          <w:szCs w:val="22"/>
        </w:rPr>
        <w:t xml:space="preserve">Submitted by: </w:t>
      </w:r>
      <w:r w:rsidR="00174525" w:rsidRPr="00174525">
        <w:rPr>
          <w:b/>
          <w:sz w:val="22"/>
          <w:szCs w:val="22"/>
        </w:rPr>
        <w:t>_________________</w:t>
      </w:r>
      <w:r w:rsidR="00174525">
        <w:rPr>
          <w:b/>
          <w:sz w:val="22"/>
          <w:szCs w:val="22"/>
        </w:rPr>
        <w:t>__________</w:t>
      </w:r>
      <w:r w:rsidR="00174525" w:rsidRPr="00174525">
        <w:rPr>
          <w:b/>
          <w:sz w:val="22"/>
          <w:szCs w:val="22"/>
        </w:rPr>
        <w:t>___</w:t>
      </w:r>
      <w:r w:rsidR="00174525" w:rsidRPr="00174525">
        <w:rPr>
          <w:b/>
          <w:sz w:val="22"/>
          <w:szCs w:val="22"/>
        </w:rPr>
        <w:tab/>
      </w:r>
      <w:r w:rsidR="00174525" w:rsidRPr="00174525">
        <w:rPr>
          <w:b/>
          <w:sz w:val="22"/>
          <w:szCs w:val="22"/>
        </w:rPr>
        <w:tab/>
      </w:r>
    </w:p>
    <w:p w:rsidR="00C01418" w:rsidRPr="00204CBE" w:rsidRDefault="00C01418" w:rsidP="00C01418">
      <w:pPr>
        <w:ind w:right="-14"/>
        <w:rPr>
          <w:rFonts w:eastAsia="Calibri"/>
          <w:bCs/>
          <w:sz w:val="22"/>
          <w:szCs w:val="22"/>
        </w:rPr>
      </w:pPr>
      <w:r w:rsidRPr="00174525">
        <w:rPr>
          <w:rFonts w:eastAsia="Calibri"/>
          <w:b/>
          <w:bCs/>
          <w:sz w:val="22"/>
          <w:szCs w:val="22"/>
          <w:u w:val="single"/>
        </w:rPr>
        <w:t>I. PROJECT DESCRIPTION (</w:t>
      </w:r>
      <w:r w:rsidRPr="00234CD7">
        <w:rPr>
          <w:rFonts w:eastAsia="Calibri"/>
          <w:b/>
          <w:bCs/>
          <w:sz w:val="22"/>
          <w:szCs w:val="22"/>
          <w:u w:val="single"/>
        </w:rPr>
        <w:t>no more than 250 words</w:t>
      </w:r>
      <w:r w:rsidRPr="00174525">
        <w:rPr>
          <w:rFonts w:eastAsia="Calibri"/>
          <w:b/>
          <w:bCs/>
          <w:sz w:val="22"/>
          <w:szCs w:val="22"/>
          <w:u w:val="single"/>
        </w:rPr>
        <w:t>):</w:t>
      </w:r>
      <w:r w:rsidR="002500D6">
        <w:rPr>
          <w:rFonts w:eastAsia="Calibri"/>
          <w:b/>
          <w:bCs/>
          <w:sz w:val="22"/>
          <w:szCs w:val="22"/>
          <w:u w:val="single"/>
        </w:rPr>
        <w:t xml:space="preserve"> </w:t>
      </w:r>
      <w:r w:rsidR="002500D6" w:rsidRPr="00204CBE">
        <w:rPr>
          <w:rFonts w:eastAsia="Calibri"/>
          <w:bCs/>
          <w:sz w:val="22"/>
          <w:szCs w:val="22"/>
        </w:rPr>
        <w:t>Provide a brief description of the need for this project.  Consider the following questions: What has been done thus far?  What still needs attention? What major objective do you hope to achieve by the end of your project?</w:t>
      </w:r>
    </w:p>
    <w:p w:rsidR="00C01418" w:rsidRPr="00174525" w:rsidRDefault="00C01418" w:rsidP="00C01418">
      <w:pPr>
        <w:rPr>
          <w:b/>
          <w:sz w:val="22"/>
          <w:szCs w:val="22"/>
        </w:rPr>
      </w:pPr>
    </w:p>
    <w:p w:rsidR="00C01418" w:rsidRPr="00174525" w:rsidRDefault="00C01418" w:rsidP="00C01418">
      <w:pPr>
        <w:ind w:right="-20"/>
        <w:jc w:val="both"/>
        <w:rPr>
          <w:rFonts w:eastAsia="Calibri"/>
          <w:b/>
          <w:bCs/>
          <w:spacing w:val="1"/>
          <w:w w:val="99"/>
          <w:sz w:val="22"/>
          <w:szCs w:val="22"/>
          <w:u w:val="single" w:color="000000"/>
        </w:rPr>
      </w:pPr>
    </w:p>
    <w:p w:rsidR="00C01418" w:rsidRPr="00174525" w:rsidRDefault="00C01418" w:rsidP="00C01418">
      <w:pPr>
        <w:ind w:right="-14"/>
        <w:rPr>
          <w:rFonts w:eastAsia="Calibri"/>
          <w:b/>
          <w:bCs/>
          <w:sz w:val="22"/>
          <w:szCs w:val="22"/>
          <w:u w:val="single"/>
        </w:rPr>
      </w:pPr>
      <w:r w:rsidRPr="00174525">
        <w:rPr>
          <w:rFonts w:eastAsia="Calibri"/>
          <w:b/>
          <w:bCs/>
          <w:sz w:val="22"/>
          <w:szCs w:val="22"/>
          <w:u w:val="single"/>
        </w:rPr>
        <w:t>II. GOALS AND OUTCOMES</w:t>
      </w:r>
    </w:p>
    <w:p w:rsidR="00C01418" w:rsidRPr="00174525" w:rsidRDefault="00C01418" w:rsidP="00C01418">
      <w:pPr>
        <w:ind w:right="-14"/>
        <w:rPr>
          <w:rFonts w:eastAsia="Calibri"/>
          <w:bCs/>
          <w:sz w:val="22"/>
          <w:szCs w:val="22"/>
        </w:rPr>
      </w:pPr>
      <w:r w:rsidRPr="00174525">
        <w:rPr>
          <w:rFonts w:eastAsia="Calibri"/>
          <w:bCs/>
          <w:sz w:val="22"/>
          <w:szCs w:val="22"/>
        </w:rPr>
        <w:t xml:space="preserve">Please </w:t>
      </w:r>
      <w:r w:rsidR="00174525" w:rsidRPr="00174525">
        <w:rPr>
          <w:rFonts w:eastAsia="Calibri"/>
          <w:bCs/>
          <w:sz w:val="22"/>
          <w:szCs w:val="22"/>
        </w:rPr>
        <w:t>complete the chart below indicating concrete and achievable goals, activities, and outcomes</w:t>
      </w:r>
    </w:p>
    <w:p w:rsidR="00C01418" w:rsidRPr="00174525" w:rsidRDefault="00C01418" w:rsidP="00C01418">
      <w:pPr>
        <w:autoSpaceDE w:val="0"/>
        <w:autoSpaceDN w:val="0"/>
        <w:spacing w:before="100" w:beforeAutospacing="1" w:after="100" w:afterAutospacing="1"/>
        <w:contextualSpacing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94"/>
        <w:gridCol w:w="2690"/>
        <w:gridCol w:w="1703"/>
        <w:gridCol w:w="2201"/>
      </w:tblGrid>
      <w:tr w:rsidR="00C01418" w:rsidRPr="00174525">
        <w:trPr>
          <w:trHeight w:val="276"/>
        </w:trPr>
        <w:tc>
          <w:tcPr>
            <w:tcW w:w="3594" w:type="dxa"/>
            <w:shd w:val="clear" w:color="auto" w:fill="D9D9D9" w:themeFill="background1" w:themeFillShade="D9"/>
          </w:tcPr>
          <w:p w:rsidR="00C01418" w:rsidRPr="00174525" w:rsidRDefault="00C01418" w:rsidP="00B451A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4525">
              <w:rPr>
                <w:b/>
                <w:sz w:val="22"/>
                <w:szCs w:val="22"/>
              </w:rPr>
              <w:t>Goals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:rsidR="00C01418" w:rsidRPr="00174525" w:rsidRDefault="00C01418" w:rsidP="00B451A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4525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C01418" w:rsidRPr="00174525" w:rsidRDefault="00C01418" w:rsidP="00B451A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4525">
              <w:rPr>
                <w:b/>
                <w:sz w:val="22"/>
                <w:szCs w:val="22"/>
              </w:rPr>
              <w:t>Timeline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C01418" w:rsidRPr="00174525" w:rsidRDefault="00C01418" w:rsidP="00B451A1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4525">
              <w:rPr>
                <w:b/>
                <w:sz w:val="22"/>
                <w:szCs w:val="22"/>
              </w:rPr>
              <w:t>Measurable Outcomes/Evidence</w:t>
            </w:r>
          </w:p>
        </w:tc>
      </w:tr>
      <w:tr w:rsidR="00C01418" w:rsidRPr="00174525">
        <w:trPr>
          <w:trHeight w:val="276"/>
        </w:trPr>
        <w:tc>
          <w:tcPr>
            <w:tcW w:w="3594" w:type="dxa"/>
          </w:tcPr>
          <w:p w:rsidR="00C01418" w:rsidRPr="00174525" w:rsidRDefault="00C01418" w:rsidP="00B451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1418" w:rsidRPr="00174525" w:rsidRDefault="00C01418" w:rsidP="00B451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1418" w:rsidRPr="00174525" w:rsidRDefault="00C01418" w:rsidP="00B451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1418" w:rsidRPr="00174525" w:rsidRDefault="00C01418" w:rsidP="00B451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</w:tc>
      </w:tr>
      <w:tr w:rsidR="00C01418" w:rsidRPr="00174525">
        <w:trPr>
          <w:trHeight w:val="80"/>
        </w:trPr>
        <w:tc>
          <w:tcPr>
            <w:tcW w:w="3594" w:type="dxa"/>
          </w:tcPr>
          <w:p w:rsidR="00C01418" w:rsidRPr="00174525" w:rsidRDefault="00C01418" w:rsidP="00B451A1">
            <w:pPr>
              <w:pStyle w:val="ListParagraph"/>
              <w:ind w:left="0"/>
            </w:pPr>
          </w:p>
          <w:p w:rsidR="00C01418" w:rsidRPr="00174525" w:rsidRDefault="00C01418" w:rsidP="00B451A1">
            <w:pPr>
              <w:pStyle w:val="ListParagraph"/>
              <w:ind w:left="0"/>
            </w:pPr>
          </w:p>
          <w:p w:rsidR="00C01418" w:rsidRPr="00174525" w:rsidRDefault="00C01418" w:rsidP="00B451A1">
            <w:pPr>
              <w:pStyle w:val="ListParagraph"/>
              <w:ind w:left="0"/>
            </w:pPr>
          </w:p>
          <w:p w:rsidR="00C01418" w:rsidRPr="00174525" w:rsidRDefault="00C01418" w:rsidP="00B451A1">
            <w:pPr>
              <w:pStyle w:val="ListParagraph"/>
              <w:ind w:left="0"/>
            </w:pPr>
          </w:p>
        </w:tc>
        <w:tc>
          <w:tcPr>
            <w:tcW w:w="2690" w:type="dxa"/>
          </w:tcPr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</w:tc>
      </w:tr>
      <w:tr w:rsidR="00C01418" w:rsidRPr="00174525">
        <w:trPr>
          <w:trHeight w:val="276"/>
        </w:trPr>
        <w:tc>
          <w:tcPr>
            <w:tcW w:w="3594" w:type="dxa"/>
          </w:tcPr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  <w:p w:rsidR="00C01418" w:rsidRPr="00174525" w:rsidRDefault="00C01418" w:rsidP="00B451A1">
            <w:pPr>
              <w:rPr>
                <w:sz w:val="22"/>
                <w:szCs w:val="22"/>
              </w:rPr>
            </w:pPr>
          </w:p>
        </w:tc>
      </w:tr>
      <w:tr w:rsidR="00174525" w:rsidRPr="00174525">
        <w:trPr>
          <w:trHeight w:val="276"/>
        </w:trPr>
        <w:tc>
          <w:tcPr>
            <w:tcW w:w="3594" w:type="dxa"/>
          </w:tcPr>
          <w:p w:rsidR="00174525" w:rsidRPr="00174525" w:rsidRDefault="00174525" w:rsidP="00174525">
            <w:pPr>
              <w:spacing w:after="0"/>
              <w:ind w:left="0" w:right="-20"/>
              <w:rPr>
                <w:sz w:val="22"/>
                <w:szCs w:val="22"/>
              </w:rPr>
            </w:pPr>
            <w:r w:rsidRPr="00174525">
              <w:rPr>
                <w:sz w:val="22"/>
                <w:szCs w:val="22"/>
              </w:rPr>
              <w:t>List  the course/s this grant targets, and whether or not they are marked for deposit on your program curriculum maps, as well as the specific Core Competency and/or Communication Ability addressed</w:t>
            </w:r>
          </w:p>
          <w:p w:rsidR="00174525" w:rsidRPr="00174525" w:rsidRDefault="00174525" w:rsidP="00B451A1">
            <w:pPr>
              <w:ind w:right="-20"/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174525" w:rsidRPr="00174525" w:rsidRDefault="00174525" w:rsidP="00B451A1">
            <w:pPr>
              <w:rPr>
                <w:sz w:val="22"/>
                <w:szCs w:val="22"/>
              </w:rPr>
            </w:pPr>
            <w:r w:rsidRPr="00174525">
              <w:rPr>
                <w:sz w:val="22"/>
                <w:szCs w:val="22"/>
              </w:rPr>
              <w:t>Target courses:</w:t>
            </w:r>
          </w:p>
        </w:tc>
        <w:tc>
          <w:tcPr>
            <w:tcW w:w="1703" w:type="dxa"/>
          </w:tcPr>
          <w:p w:rsidR="00174525" w:rsidRPr="00174525" w:rsidRDefault="00174525" w:rsidP="00B451A1">
            <w:pPr>
              <w:autoSpaceDE w:val="0"/>
              <w:autoSpaceDN w:val="0"/>
              <w:rPr>
                <w:sz w:val="22"/>
                <w:szCs w:val="22"/>
              </w:rPr>
            </w:pPr>
            <w:r w:rsidRPr="00174525">
              <w:rPr>
                <w:sz w:val="22"/>
                <w:szCs w:val="22"/>
              </w:rPr>
              <w:t>Curriculum Map Yes/No:</w:t>
            </w:r>
          </w:p>
        </w:tc>
        <w:tc>
          <w:tcPr>
            <w:tcW w:w="2201" w:type="dxa"/>
          </w:tcPr>
          <w:p w:rsidR="00174525" w:rsidRPr="00174525" w:rsidRDefault="00174525" w:rsidP="00B451A1">
            <w:pPr>
              <w:autoSpaceDE w:val="0"/>
              <w:autoSpaceDN w:val="0"/>
              <w:rPr>
                <w:sz w:val="22"/>
                <w:szCs w:val="22"/>
              </w:rPr>
            </w:pPr>
            <w:r w:rsidRPr="00174525">
              <w:rPr>
                <w:sz w:val="22"/>
                <w:szCs w:val="22"/>
              </w:rPr>
              <w:t>Core Competency / Communication Ability</w:t>
            </w:r>
          </w:p>
        </w:tc>
      </w:tr>
      <w:tr w:rsidR="00174525" w:rsidRPr="00174525">
        <w:trPr>
          <w:trHeight w:val="276"/>
        </w:trPr>
        <w:tc>
          <w:tcPr>
            <w:tcW w:w="3594" w:type="dxa"/>
          </w:tcPr>
          <w:p w:rsidR="00174525" w:rsidRPr="00174525" w:rsidRDefault="00174525" w:rsidP="00174525">
            <w:pPr>
              <w:spacing w:after="0"/>
              <w:ind w:left="0" w:right="-20"/>
              <w:rPr>
                <w:sz w:val="22"/>
                <w:szCs w:val="22"/>
              </w:rPr>
            </w:pPr>
            <w:r w:rsidRPr="00174525">
              <w:rPr>
                <w:sz w:val="22"/>
                <w:szCs w:val="22"/>
              </w:rPr>
              <w:t>If know</w:t>
            </w:r>
            <w:r>
              <w:rPr>
                <w:sz w:val="22"/>
                <w:szCs w:val="22"/>
              </w:rPr>
              <w:t>n</w:t>
            </w:r>
            <w:r w:rsidRPr="00174525">
              <w:rPr>
                <w:sz w:val="22"/>
                <w:szCs w:val="22"/>
              </w:rPr>
              <w:t>, please list the faculty who will participate, and the approximate number of hours involved.  If names are not available, please indicate the number of faculty involved</w:t>
            </w:r>
          </w:p>
        </w:tc>
        <w:tc>
          <w:tcPr>
            <w:tcW w:w="2690" w:type="dxa"/>
          </w:tcPr>
          <w:p w:rsidR="00174525" w:rsidRPr="00174525" w:rsidRDefault="00174525" w:rsidP="00B451A1">
            <w:pPr>
              <w:rPr>
                <w:sz w:val="22"/>
                <w:szCs w:val="22"/>
              </w:rPr>
            </w:pPr>
            <w:r w:rsidRPr="00174525">
              <w:rPr>
                <w:sz w:val="22"/>
                <w:szCs w:val="22"/>
              </w:rPr>
              <w:t>Faculty who will attend:</w:t>
            </w:r>
          </w:p>
        </w:tc>
        <w:tc>
          <w:tcPr>
            <w:tcW w:w="1703" w:type="dxa"/>
          </w:tcPr>
          <w:p w:rsidR="00174525" w:rsidRPr="00174525" w:rsidRDefault="00174525" w:rsidP="00B451A1">
            <w:pPr>
              <w:autoSpaceDE w:val="0"/>
              <w:autoSpaceDN w:val="0"/>
              <w:rPr>
                <w:sz w:val="22"/>
                <w:szCs w:val="22"/>
              </w:rPr>
            </w:pPr>
            <w:r w:rsidRPr="00174525">
              <w:rPr>
                <w:sz w:val="22"/>
                <w:szCs w:val="22"/>
              </w:rPr>
              <w:t>Hours involved:</w:t>
            </w:r>
          </w:p>
        </w:tc>
        <w:tc>
          <w:tcPr>
            <w:tcW w:w="2201" w:type="dxa"/>
          </w:tcPr>
          <w:p w:rsidR="00174525" w:rsidRPr="00174525" w:rsidRDefault="00174525" w:rsidP="00B451A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74525" w:rsidRPr="00174525" w:rsidRDefault="00174525" w:rsidP="00174525">
      <w:pPr>
        <w:ind w:left="0"/>
        <w:rPr>
          <w:b/>
          <w:sz w:val="22"/>
          <w:szCs w:val="22"/>
        </w:rPr>
      </w:pPr>
      <w:r w:rsidRPr="00174525">
        <w:rPr>
          <w:b/>
          <w:sz w:val="22"/>
          <w:szCs w:val="22"/>
        </w:rPr>
        <w:t>Please also submit a letter of support from your Program Director and Department Chair that:</w:t>
      </w:r>
    </w:p>
    <w:p w:rsidR="00174525" w:rsidRPr="00174525" w:rsidRDefault="00D24B1B" w:rsidP="00D24B1B">
      <w:pPr>
        <w:pStyle w:val="ListParagraph"/>
        <w:ind w:left="0"/>
        <w:jc w:val="both"/>
      </w:pPr>
      <w:r>
        <w:t xml:space="preserve">1. </w:t>
      </w:r>
      <w:r w:rsidR="00174525" w:rsidRPr="00174525">
        <w:t>Art</w:t>
      </w:r>
      <w:r w:rsidR="002D34FB">
        <w:t>iculates how this M</w:t>
      </w:r>
      <w:r w:rsidR="00174525" w:rsidRPr="00174525">
        <w:t>ini-</w:t>
      </w:r>
      <w:r w:rsidR="002D34FB">
        <w:t>G</w:t>
      </w:r>
      <w:r w:rsidR="00174525" w:rsidRPr="00174525">
        <w:t xml:space="preserve">rant work fits into the long-term strategic vision for the program or department. </w:t>
      </w:r>
      <w:r>
        <w:t xml:space="preserve">  </w:t>
      </w:r>
    </w:p>
    <w:p w:rsidR="00B451A1" w:rsidRDefault="00174525" w:rsidP="00D24B1B">
      <w:pPr>
        <w:pStyle w:val="ListParagraph"/>
        <w:ind w:left="0"/>
        <w:jc w:val="both"/>
      </w:pPr>
      <w:r w:rsidRPr="00174525">
        <w:t>2. Affirms that he/she will: Consult regularly with you to</w:t>
      </w:r>
      <w:r w:rsidR="00D24B1B">
        <w:t xml:space="preserve"> learn about progress and share your work with the department; and p</w:t>
      </w:r>
      <w:r w:rsidRPr="00174525">
        <w:t>rovide time at departments meetings for sharing your work and outcomes</w:t>
      </w:r>
      <w:r w:rsidR="002500D6">
        <w:t xml:space="preserve">. </w:t>
      </w:r>
    </w:p>
    <w:p w:rsidR="00170888" w:rsidRPr="007B4DC7" w:rsidRDefault="00170888" w:rsidP="007B4DC7">
      <w:pPr>
        <w:spacing w:before="0" w:after="120" w:line="276" w:lineRule="auto"/>
        <w:ind w:left="0" w:right="0"/>
        <w:jc w:val="center"/>
        <w:rPr>
          <w:sz w:val="22"/>
        </w:rPr>
      </w:pPr>
      <w:r>
        <w:br w:type="page"/>
      </w:r>
    </w:p>
    <w:p w:rsidR="00170888" w:rsidRPr="008D585E" w:rsidRDefault="00B451A1" w:rsidP="007B4DC7">
      <w:pPr>
        <w:ind w:left="0"/>
        <w:jc w:val="center"/>
        <w:rPr>
          <w:b/>
          <w:sz w:val="22"/>
          <w:u w:val="single"/>
        </w:rPr>
      </w:pPr>
      <w:r w:rsidRPr="008D585E">
        <w:rPr>
          <w:b/>
          <w:sz w:val="22"/>
          <w:u w:val="single"/>
        </w:rPr>
        <w:lastRenderedPageBreak/>
        <w:t>Suggested Steps</w:t>
      </w:r>
      <w:r w:rsidR="007B4DC7" w:rsidRPr="008D585E">
        <w:rPr>
          <w:b/>
          <w:sz w:val="22"/>
          <w:u w:val="single"/>
        </w:rPr>
        <w:t xml:space="preserve"> for Mini Grant </w:t>
      </w:r>
      <w:r w:rsidR="008D585E" w:rsidRPr="008D585E">
        <w:rPr>
          <w:b/>
          <w:sz w:val="22"/>
          <w:u w:val="single"/>
        </w:rPr>
        <w:t>Projects</w:t>
      </w:r>
    </w:p>
    <w:p w:rsidR="00170888" w:rsidRDefault="00170888" w:rsidP="00170888">
      <w:pPr>
        <w:ind w:left="0"/>
      </w:pPr>
    </w:p>
    <w:p w:rsidR="008D585E" w:rsidRDefault="008D585E" w:rsidP="00170888">
      <w:pPr>
        <w:ind w:left="0"/>
        <w:rPr>
          <w:sz w:val="22"/>
          <w:szCs w:val="22"/>
        </w:rPr>
      </w:pPr>
      <w:r w:rsidRPr="008D585E">
        <w:rPr>
          <w:sz w:val="22"/>
          <w:szCs w:val="22"/>
        </w:rPr>
        <w:t xml:space="preserve">Based on the experience of effective mini-grant projects in prior years, we strongly recommend a process for all Mini-Grant </w:t>
      </w:r>
      <w:r>
        <w:rPr>
          <w:sz w:val="22"/>
          <w:szCs w:val="22"/>
        </w:rPr>
        <w:t>projects that includes these steps:</w:t>
      </w:r>
    </w:p>
    <w:p w:rsidR="008D585E" w:rsidRPr="008D585E" w:rsidRDefault="008D585E" w:rsidP="008D585E">
      <w:pPr>
        <w:spacing w:before="0" w:after="0"/>
        <w:ind w:left="0"/>
        <w:rPr>
          <w:sz w:val="16"/>
          <w:szCs w:val="16"/>
        </w:rPr>
      </w:pPr>
    </w:p>
    <w:p w:rsidR="00B451A1" w:rsidRPr="00174525" w:rsidRDefault="00EB39EB" w:rsidP="00170888">
      <w:pPr>
        <w:pStyle w:val="ListParagraph"/>
        <w:numPr>
          <w:ilvl w:val="0"/>
          <w:numId w:val="22"/>
        </w:numPr>
        <w:contextualSpacing w:val="0"/>
      </w:pPr>
      <w:r>
        <w:rPr>
          <w:u w:val="single"/>
        </w:rPr>
        <w:t>In preparation for the project, r</w:t>
      </w:r>
      <w:r w:rsidR="00B451A1" w:rsidRPr="008D585E">
        <w:rPr>
          <w:u w:val="single"/>
        </w:rPr>
        <w:t xml:space="preserve">eview </w:t>
      </w:r>
      <w:r w:rsidR="008D585E" w:rsidRPr="008D585E">
        <w:rPr>
          <w:u w:val="single"/>
        </w:rPr>
        <w:t xml:space="preserve">programmatic </w:t>
      </w:r>
      <w:r w:rsidR="00B451A1" w:rsidRPr="008D585E">
        <w:rPr>
          <w:u w:val="single"/>
        </w:rPr>
        <w:t>curricular maps</w:t>
      </w:r>
      <w:r w:rsidR="00B451A1" w:rsidRPr="00174525">
        <w:t xml:space="preserve"> that indicate the courses designated for the depositing of assignments addressing specific Core Competencies and Communication Abilities to ensure that </w:t>
      </w:r>
      <w:r w:rsidR="00B451A1" w:rsidRPr="00170888">
        <w:rPr>
          <w:u w:val="single"/>
        </w:rPr>
        <w:t>both</w:t>
      </w:r>
      <w:r w:rsidR="00B451A1" w:rsidRPr="00174525">
        <w:t xml:space="preserve"> program and course objectives are well-matched to the designated Competency and/or Ability.  </w:t>
      </w:r>
    </w:p>
    <w:p w:rsidR="00B451A1" w:rsidRPr="00174525" w:rsidRDefault="00EB39EB" w:rsidP="00B451A1">
      <w:pPr>
        <w:pStyle w:val="ListParagraph"/>
        <w:numPr>
          <w:ilvl w:val="0"/>
          <w:numId w:val="22"/>
        </w:numPr>
        <w:contextualSpacing w:val="0"/>
      </w:pPr>
      <w:r>
        <w:t>Projects should begin by r</w:t>
      </w:r>
      <w:r w:rsidR="00B451A1" w:rsidRPr="00174525">
        <w:t>eview</w:t>
      </w:r>
      <w:r>
        <w:t>ing</w:t>
      </w:r>
      <w:r w:rsidR="00B451A1" w:rsidRPr="00174525">
        <w:t xml:space="preserve"> assignm</w:t>
      </w:r>
      <w:r>
        <w:t>ents created for these courses and determining</w:t>
      </w:r>
      <w:r w:rsidR="00B451A1" w:rsidRPr="00174525">
        <w:t xml:space="preserve"> the extent to which they explicitly address </w:t>
      </w:r>
      <w:r w:rsidRPr="00EB39EB">
        <w:rPr>
          <w:u w:val="single"/>
        </w:rPr>
        <w:t>all</w:t>
      </w:r>
      <w:r>
        <w:t xml:space="preserve"> </w:t>
      </w:r>
      <w:r w:rsidR="00B451A1" w:rsidRPr="00174525">
        <w:t>dimensions of the designated Competency and/or Ability</w:t>
      </w:r>
      <w:r>
        <w:t>, as defined by the rubric</w:t>
      </w:r>
      <w:r w:rsidR="00B451A1" w:rsidRPr="00174525">
        <w:t xml:space="preserve">.  </w:t>
      </w:r>
      <w:r w:rsidR="00B451A1" w:rsidRPr="008D585E">
        <w:rPr>
          <w:u w:val="single"/>
        </w:rPr>
        <w:t xml:space="preserve">This process involves both carefully examining assignment/s and conducting norming and scoring sessions to evaluate the extent to which already deposited student work responds to the rubric dimensions. </w:t>
      </w:r>
      <w:r w:rsidR="00B451A1" w:rsidRPr="00174525">
        <w:t xml:space="preserve"> </w:t>
      </w:r>
      <w:r w:rsidR="00AE2700">
        <w:t xml:space="preserve"> </w:t>
      </w:r>
      <w:r w:rsidR="00AE2700" w:rsidRPr="008D585E">
        <w:t xml:space="preserve">The college’s </w:t>
      </w:r>
      <w:r w:rsidR="00234CD7">
        <w:t xml:space="preserve">Assessment Leadership Team and the CTL </w:t>
      </w:r>
      <w:r w:rsidR="00B451A1" w:rsidRPr="008D585E">
        <w:t>will he</w:t>
      </w:r>
      <w:r w:rsidR="00234CD7">
        <w:t>lp with all norming and scoring, working together with you and participants in your project.</w:t>
      </w:r>
    </w:p>
    <w:p w:rsidR="00B451A1" w:rsidRDefault="00B451A1" w:rsidP="008D585E">
      <w:pPr>
        <w:pStyle w:val="ListParagraph"/>
        <w:numPr>
          <w:ilvl w:val="0"/>
          <w:numId w:val="22"/>
        </w:numPr>
        <w:spacing w:after="120"/>
        <w:contextualSpacing w:val="0"/>
      </w:pPr>
      <w:r w:rsidRPr="00174525">
        <w:t xml:space="preserve">Based on the results of these investigations, </w:t>
      </w:r>
      <w:r w:rsidR="00EB39EB">
        <w:t xml:space="preserve">focus on </w:t>
      </w:r>
      <w:r w:rsidR="008D585E">
        <w:t xml:space="preserve">the </w:t>
      </w:r>
      <w:r w:rsidRPr="00174525">
        <w:t xml:space="preserve">assignments </w:t>
      </w:r>
      <w:r w:rsidR="008D585E">
        <w:t xml:space="preserve">that </w:t>
      </w:r>
      <w:r>
        <w:t>most need</w:t>
      </w:r>
      <w:r w:rsidRPr="00174525">
        <w:t xml:space="preserve"> to be revised</w:t>
      </w:r>
      <w:r w:rsidR="008D585E">
        <w:t>,</w:t>
      </w:r>
      <w:r w:rsidRPr="00174525">
        <w:t xml:space="preserve"> and/or </w:t>
      </w:r>
      <w:r w:rsidR="008D585E">
        <w:t xml:space="preserve">the steps needed to </w:t>
      </w:r>
      <w:r w:rsidRPr="00174525">
        <w:t xml:space="preserve">revise curricular maps </w:t>
      </w:r>
      <w:r w:rsidR="008D585E">
        <w:t xml:space="preserve">to effectively </w:t>
      </w:r>
      <w:r w:rsidR="00EB39EB">
        <w:t xml:space="preserve">associate </w:t>
      </w:r>
      <w:r w:rsidRPr="00174525">
        <w:t xml:space="preserve">course learning objectives and the </w:t>
      </w:r>
      <w:r w:rsidR="008D585E">
        <w:t xml:space="preserve">Learning Matters </w:t>
      </w:r>
      <w:r w:rsidR="00414879">
        <w:t xml:space="preserve">Core </w:t>
      </w:r>
      <w:r w:rsidR="008D585E">
        <w:t>Competencies</w:t>
      </w:r>
      <w:r w:rsidR="00414879">
        <w:t xml:space="preserve"> and Abilities</w:t>
      </w:r>
      <w:r w:rsidRPr="00174525">
        <w:t xml:space="preserve">. </w:t>
      </w:r>
      <w:r>
        <w:t xml:space="preserve"> </w:t>
      </w:r>
    </w:p>
    <w:p w:rsidR="00B451A1" w:rsidRPr="00EB39EB" w:rsidRDefault="00B451A1" w:rsidP="00EB39EB">
      <w:pPr>
        <w:spacing w:after="160"/>
        <w:ind w:left="720"/>
        <w:rPr>
          <w:sz w:val="22"/>
          <w:szCs w:val="22"/>
        </w:rPr>
      </w:pPr>
      <w:r w:rsidRPr="00EB39EB">
        <w:rPr>
          <w:sz w:val="22"/>
          <w:szCs w:val="22"/>
        </w:rPr>
        <w:t>If assignmen</w:t>
      </w:r>
      <w:r w:rsidR="00AE2700" w:rsidRPr="00EB39EB">
        <w:rPr>
          <w:sz w:val="22"/>
          <w:szCs w:val="22"/>
        </w:rPr>
        <w:t xml:space="preserve">ts need to be revised, </w:t>
      </w:r>
      <w:r w:rsidR="00EB39EB" w:rsidRPr="00EB39EB">
        <w:rPr>
          <w:sz w:val="22"/>
          <w:szCs w:val="22"/>
          <w:u w:val="single"/>
        </w:rPr>
        <w:t xml:space="preserve">allocate time </w:t>
      </w:r>
      <w:r w:rsidR="00AE2700" w:rsidRPr="00EB39EB">
        <w:rPr>
          <w:sz w:val="22"/>
          <w:szCs w:val="22"/>
          <w:u w:val="single"/>
        </w:rPr>
        <w:t>for revising</w:t>
      </w:r>
      <w:r w:rsidR="00EB39EB" w:rsidRPr="00EB39EB">
        <w:rPr>
          <w:sz w:val="22"/>
          <w:szCs w:val="22"/>
          <w:u w:val="single"/>
        </w:rPr>
        <w:t xml:space="preserve"> and</w:t>
      </w:r>
      <w:r w:rsidRPr="00EB39EB">
        <w:rPr>
          <w:sz w:val="22"/>
          <w:szCs w:val="22"/>
          <w:u w:val="single"/>
        </w:rPr>
        <w:t xml:space="preserve"> implementing</w:t>
      </w:r>
      <w:r w:rsidR="00EB39EB" w:rsidRPr="00EB39EB">
        <w:rPr>
          <w:sz w:val="22"/>
          <w:szCs w:val="22"/>
          <w:u w:val="single"/>
        </w:rPr>
        <w:t xml:space="preserve"> assignments </w:t>
      </w:r>
      <w:r w:rsidRPr="00EB39EB">
        <w:rPr>
          <w:sz w:val="22"/>
          <w:szCs w:val="22"/>
          <w:u w:val="single"/>
        </w:rPr>
        <w:t xml:space="preserve">and </w:t>
      </w:r>
      <w:r w:rsidR="00EB39EB" w:rsidRPr="00EB39EB">
        <w:rPr>
          <w:sz w:val="22"/>
          <w:szCs w:val="22"/>
          <w:u w:val="single"/>
        </w:rPr>
        <w:t xml:space="preserve">then </w:t>
      </w:r>
      <w:r w:rsidRPr="00EB39EB">
        <w:rPr>
          <w:sz w:val="22"/>
          <w:szCs w:val="22"/>
          <w:u w:val="single"/>
        </w:rPr>
        <w:t>depositing student work</w:t>
      </w:r>
      <w:r w:rsidR="00EB39EB" w:rsidRPr="00EB39EB">
        <w:rPr>
          <w:sz w:val="22"/>
          <w:szCs w:val="22"/>
        </w:rPr>
        <w:t>.</w:t>
      </w:r>
      <w:r w:rsidRPr="00EB39EB">
        <w:rPr>
          <w:sz w:val="22"/>
          <w:szCs w:val="22"/>
        </w:rPr>
        <w:t xml:space="preserve"> </w:t>
      </w:r>
      <w:r w:rsidR="00EB39EB">
        <w:rPr>
          <w:sz w:val="22"/>
          <w:szCs w:val="22"/>
        </w:rPr>
        <w:t xml:space="preserve"> </w:t>
      </w:r>
      <w:r w:rsidR="00EB39EB" w:rsidRPr="00EB39EB">
        <w:rPr>
          <w:sz w:val="22"/>
          <w:szCs w:val="22"/>
        </w:rPr>
        <w:t>A</w:t>
      </w:r>
      <w:r w:rsidR="00AE2700" w:rsidRPr="00EB39EB">
        <w:rPr>
          <w:sz w:val="22"/>
          <w:szCs w:val="22"/>
        </w:rPr>
        <w:t xml:space="preserve"> second Benchmark Reading and s</w:t>
      </w:r>
      <w:r w:rsidRPr="00EB39EB">
        <w:rPr>
          <w:sz w:val="22"/>
          <w:szCs w:val="22"/>
        </w:rPr>
        <w:t xml:space="preserve">coring session </w:t>
      </w:r>
      <w:r w:rsidR="00EB39EB" w:rsidRPr="00EB39EB">
        <w:rPr>
          <w:sz w:val="22"/>
          <w:szCs w:val="22"/>
        </w:rPr>
        <w:t xml:space="preserve">later in the project can help determine </w:t>
      </w:r>
      <w:r w:rsidRPr="00EB39EB">
        <w:rPr>
          <w:sz w:val="22"/>
          <w:szCs w:val="22"/>
        </w:rPr>
        <w:t xml:space="preserve">the effect of the assignment revision.  </w:t>
      </w:r>
    </w:p>
    <w:p w:rsidR="00B451A1" w:rsidRDefault="00B451A1" w:rsidP="00B451A1">
      <w:pPr>
        <w:pStyle w:val="ListParagraph"/>
        <w:numPr>
          <w:ilvl w:val="0"/>
          <w:numId w:val="22"/>
        </w:numPr>
        <w:contextualSpacing w:val="0"/>
      </w:pPr>
      <w:r w:rsidRPr="00174525">
        <w:t xml:space="preserve">At the end of these processes, faculty should be assured that program, course, and learning objectives are well-aligned, and that assignments will result in work that </w:t>
      </w:r>
      <w:r w:rsidR="00EB39EB">
        <w:t xml:space="preserve">effectively builds learning </w:t>
      </w:r>
      <w:r w:rsidR="00234CD7">
        <w:t>in the course and program as well as in the Core Competencies and Abilities</w:t>
      </w:r>
      <w:r w:rsidR="00EB39EB">
        <w:t xml:space="preserve">, as defined by </w:t>
      </w:r>
      <w:r w:rsidRPr="00174525">
        <w:t xml:space="preserve">the rubric dimensions. </w:t>
      </w:r>
    </w:p>
    <w:p w:rsidR="00065376" w:rsidRDefault="00B451A1" w:rsidP="00B451A1">
      <w:pPr>
        <w:pStyle w:val="ListParagraph"/>
        <w:numPr>
          <w:ilvl w:val="0"/>
          <w:numId w:val="22"/>
        </w:numPr>
      </w:pPr>
      <w:r>
        <w:t>Once assured that assignments are effecti</w:t>
      </w:r>
      <w:r w:rsidR="00AE2700">
        <w:t xml:space="preserve">vely addressing </w:t>
      </w:r>
      <w:r w:rsidR="00EB39EB">
        <w:t>all dimensions of the Competency/Ability</w:t>
      </w:r>
      <w:r w:rsidR="00AE2700">
        <w:t xml:space="preserve">, faculty </w:t>
      </w:r>
      <w:r>
        <w:t xml:space="preserve">will be in a better position to evaluate students’ longitudinal growth with regard to the Core Competencies and Abilities.  </w:t>
      </w:r>
      <w:r w:rsidR="00AE2700" w:rsidRPr="00EB39EB">
        <w:rPr>
          <w:u w:val="single"/>
        </w:rPr>
        <w:t>Program directors and course coordinators will</w:t>
      </w:r>
      <w:r w:rsidRPr="00EB39EB">
        <w:rPr>
          <w:u w:val="single"/>
        </w:rPr>
        <w:t xml:space="preserve"> also be able to share effective assignments with </w:t>
      </w:r>
      <w:r w:rsidR="00234CD7">
        <w:rPr>
          <w:u w:val="single"/>
        </w:rPr>
        <w:t xml:space="preserve">full-time and </w:t>
      </w:r>
      <w:r w:rsidRPr="00EB39EB">
        <w:rPr>
          <w:u w:val="single"/>
        </w:rPr>
        <w:t xml:space="preserve">adjunct faculty </w:t>
      </w:r>
      <w:r>
        <w:t>to ensure that all membe</w:t>
      </w:r>
      <w:r w:rsidR="00AE2700">
        <w:t>rs of the faculty understand the college’s</w:t>
      </w:r>
      <w:r>
        <w:t xml:space="preserve"> assessment processes, are conversant with the rubrics and their dimensions, and can use and design assignments that build students’ skills and abilities.   </w:t>
      </w:r>
    </w:p>
    <w:p w:rsidR="003F2167" w:rsidRPr="003F2167" w:rsidRDefault="003F2167" w:rsidP="003F2167">
      <w:pPr>
        <w:rPr>
          <w:sz w:val="22"/>
          <w:szCs w:val="22"/>
        </w:rPr>
      </w:pPr>
      <w:r w:rsidRPr="003F2167">
        <w:rPr>
          <w:sz w:val="22"/>
          <w:szCs w:val="22"/>
        </w:rPr>
        <w:t xml:space="preserve">Courses designated for depositing by Liberal Arts Chairs: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F2167" w:rsidTr="003F2167">
        <w:tc>
          <w:tcPr>
            <w:tcW w:w="3596" w:type="dxa"/>
          </w:tcPr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ELL101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ELN101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ENG101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ENG102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ENN198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HUC106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HUN192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HUN195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HUP104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LIB200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LIF101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LMF101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MAT115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MAT117</w:t>
            </w:r>
          </w:p>
          <w:p w:rsid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MAT119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MAT120</w:t>
            </w:r>
          </w:p>
          <w:p w:rsid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MAT200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NSF101</w:t>
            </w:r>
          </w:p>
          <w:p w:rsidR="003F2167" w:rsidRPr="003F2167" w:rsidRDefault="003F2167" w:rsidP="00414879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SCB115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SCB201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SCB202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SCB260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SCC201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SCC202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SCP201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SSN187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SSP200</w:t>
            </w:r>
          </w:p>
          <w:p w:rsidR="003F2167" w:rsidRPr="003F2167" w:rsidRDefault="003F2167" w:rsidP="003F2167">
            <w:pPr>
              <w:spacing w:before="0" w:after="120" w:line="276" w:lineRule="auto"/>
              <w:ind w:left="0" w:right="0"/>
              <w:rPr>
                <w:sz w:val="20"/>
                <w:szCs w:val="20"/>
              </w:rPr>
            </w:pPr>
            <w:r w:rsidRPr="003F2167">
              <w:rPr>
                <w:sz w:val="20"/>
                <w:szCs w:val="20"/>
              </w:rPr>
              <w:t>SSS100</w:t>
            </w:r>
          </w:p>
        </w:tc>
      </w:tr>
    </w:tbl>
    <w:p w:rsidR="00414879" w:rsidRDefault="00414879" w:rsidP="00414879">
      <w:pPr>
        <w:spacing w:before="0" w:after="120" w:line="276" w:lineRule="auto"/>
        <w:ind w:left="0" w:right="0"/>
        <w:sectPr w:rsidR="00414879" w:rsidSect="002B1850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5B73" w:rsidRPr="00414879" w:rsidRDefault="00345B73" w:rsidP="00345B73">
      <w:pPr>
        <w:rPr>
          <w:b/>
          <w:sz w:val="22"/>
          <w:szCs w:val="22"/>
        </w:rPr>
      </w:pPr>
      <w:r w:rsidRPr="00414879">
        <w:rPr>
          <w:b/>
          <w:sz w:val="22"/>
          <w:szCs w:val="22"/>
        </w:rPr>
        <w:lastRenderedPageBreak/>
        <w:t>The Sample Timelines below are meant as suggestions.  Please alter as ne</w:t>
      </w:r>
      <w:r w:rsidR="002D34FB">
        <w:rPr>
          <w:b/>
          <w:sz w:val="22"/>
          <w:szCs w:val="22"/>
        </w:rPr>
        <w:t>eded to meet the goals of your Mini-G</w:t>
      </w:r>
      <w:r w:rsidRPr="00414879">
        <w:rPr>
          <w:b/>
          <w:sz w:val="22"/>
          <w:szCs w:val="22"/>
        </w:rPr>
        <w:t>rant</w:t>
      </w:r>
    </w:p>
    <w:p w:rsidR="00065376" w:rsidRDefault="00065376" w:rsidP="00345B73">
      <w:pPr>
        <w:rPr>
          <w:sz w:val="22"/>
          <w:szCs w:val="22"/>
        </w:rPr>
      </w:pPr>
    </w:p>
    <w:p w:rsidR="00345B73" w:rsidRPr="00414879" w:rsidRDefault="00345B73" w:rsidP="00414879">
      <w:pPr>
        <w:jc w:val="center"/>
        <w:rPr>
          <w:b/>
          <w:sz w:val="22"/>
          <w:szCs w:val="22"/>
        </w:rPr>
      </w:pPr>
      <w:r w:rsidRPr="00414879">
        <w:rPr>
          <w:b/>
          <w:sz w:val="22"/>
          <w:szCs w:val="22"/>
        </w:rPr>
        <w:t>Sample Timeline 1</w:t>
      </w:r>
    </w:p>
    <w:tbl>
      <w:tblPr>
        <w:tblStyle w:val="TableGrid"/>
        <w:tblW w:w="14400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3703"/>
        <w:gridCol w:w="2880"/>
        <w:gridCol w:w="2970"/>
        <w:gridCol w:w="1967"/>
        <w:gridCol w:w="2880"/>
      </w:tblGrid>
      <w:tr w:rsidR="00345B73" w:rsidRPr="00414879" w:rsidTr="00414879">
        <w:tc>
          <w:tcPr>
            <w:tcW w:w="3703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Spring II 2017</w:t>
            </w:r>
          </w:p>
        </w:tc>
        <w:tc>
          <w:tcPr>
            <w:tcW w:w="2880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Fall I 2017</w:t>
            </w:r>
          </w:p>
        </w:tc>
        <w:tc>
          <w:tcPr>
            <w:tcW w:w="2970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Fall II 2017</w:t>
            </w:r>
          </w:p>
        </w:tc>
        <w:tc>
          <w:tcPr>
            <w:tcW w:w="1967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Spring I 2018</w:t>
            </w:r>
          </w:p>
        </w:tc>
        <w:tc>
          <w:tcPr>
            <w:tcW w:w="2880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Spring II 2018</w:t>
            </w:r>
          </w:p>
        </w:tc>
      </w:tr>
      <w:tr w:rsidR="00345B73" w:rsidRPr="00414879" w:rsidTr="00414879">
        <w:tc>
          <w:tcPr>
            <w:tcW w:w="3703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 xml:space="preserve">-Review course and program objectives to determine effective alignment with </w:t>
            </w:r>
            <w:r w:rsidR="007752C1">
              <w:rPr>
                <w:sz w:val="20"/>
                <w:szCs w:val="20"/>
              </w:rPr>
              <w:t>Core Competencies and Abilities.</w:t>
            </w:r>
          </w:p>
          <w:p w:rsidR="00345B73" w:rsidRPr="00414879" w:rsidRDefault="00345B73" w:rsidP="00345B73">
            <w:pPr>
              <w:pStyle w:val="ListParagraph"/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-Adjust curricular maps as needed</w:t>
            </w:r>
            <w:r w:rsidR="007752C1">
              <w:rPr>
                <w:sz w:val="20"/>
                <w:szCs w:val="20"/>
              </w:rPr>
              <w:t>.</w:t>
            </w:r>
          </w:p>
          <w:p w:rsidR="007752C1" w:rsidRDefault="002D34FB" w:rsidP="00345B7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-Conduct norming s</w:t>
            </w:r>
            <w:r w:rsidR="00345B73" w:rsidRPr="00414879">
              <w:rPr>
                <w:sz w:val="20"/>
                <w:szCs w:val="20"/>
              </w:rPr>
              <w:t xml:space="preserve">ession and </w:t>
            </w:r>
            <w:r w:rsidR="007752C1">
              <w:rPr>
                <w:sz w:val="20"/>
                <w:szCs w:val="20"/>
              </w:rPr>
              <w:t>score</w:t>
            </w:r>
            <w:r w:rsidR="00345B73" w:rsidRPr="00414879">
              <w:rPr>
                <w:sz w:val="20"/>
                <w:szCs w:val="20"/>
              </w:rPr>
              <w:t xml:space="preserve"> student work deposited in Spring 2017</w:t>
            </w:r>
            <w:r w:rsidR="007752C1">
              <w:rPr>
                <w:sz w:val="20"/>
                <w:szCs w:val="20"/>
              </w:rPr>
              <w:t>.</w:t>
            </w:r>
            <w:r w:rsidR="00345B73" w:rsidRPr="00414879">
              <w:rPr>
                <w:sz w:val="20"/>
                <w:szCs w:val="20"/>
              </w:rPr>
              <w:t xml:space="preserve"> </w:t>
            </w:r>
          </w:p>
          <w:p w:rsidR="00345B73" w:rsidRPr="00414879" w:rsidRDefault="007752C1" w:rsidP="00345B7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Analyze results </w:t>
            </w:r>
            <w:r w:rsidR="00345B73" w:rsidRPr="00414879">
              <w:rPr>
                <w:sz w:val="20"/>
                <w:szCs w:val="20"/>
              </w:rPr>
              <w:t>to determi</w:t>
            </w:r>
            <w:r w:rsidR="00414879">
              <w:rPr>
                <w:sz w:val="20"/>
                <w:szCs w:val="20"/>
              </w:rPr>
              <w:t>ne how effectively assignment</w:t>
            </w:r>
            <w:r w:rsidR="008251E7">
              <w:rPr>
                <w:sz w:val="20"/>
                <w:szCs w:val="20"/>
              </w:rPr>
              <w:t>s addres</w:t>
            </w:r>
            <w:r w:rsidR="00414879">
              <w:rPr>
                <w:sz w:val="20"/>
                <w:szCs w:val="20"/>
              </w:rPr>
              <w:t>s all dimensions of the rubric/s.</w:t>
            </w:r>
            <w:r w:rsidR="00345B73" w:rsidRPr="00414879">
              <w:rPr>
                <w:sz w:val="20"/>
                <w:szCs w:val="20"/>
              </w:rPr>
              <w:t xml:space="preserve"> </w:t>
            </w:r>
          </w:p>
          <w:p w:rsidR="007752C1" w:rsidRDefault="00345B73" w:rsidP="00345B73">
            <w:pPr>
              <w:pStyle w:val="ListParagraph"/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 xml:space="preserve">-Revise assignments in preparation for </w:t>
            </w:r>
          </w:p>
          <w:p w:rsidR="00345B73" w:rsidRPr="00414879" w:rsidRDefault="00345B73" w:rsidP="00345B73">
            <w:pPr>
              <w:pStyle w:val="ListParagraph"/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Fall</w:t>
            </w:r>
            <w:r w:rsidR="007752C1">
              <w:rPr>
                <w:sz w:val="20"/>
                <w:szCs w:val="20"/>
              </w:rPr>
              <w:t xml:space="preserve"> I </w:t>
            </w:r>
            <w:r w:rsidRPr="00414879">
              <w:rPr>
                <w:sz w:val="20"/>
                <w:szCs w:val="20"/>
              </w:rPr>
              <w:t>2017</w:t>
            </w:r>
            <w:r w:rsidR="007752C1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</w:t>
            </w:r>
            <w:r w:rsidR="00414879">
              <w:rPr>
                <w:sz w:val="20"/>
                <w:szCs w:val="20"/>
              </w:rPr>
              <w:t xml:space="preserve">Selected </w:t>
            </w:r>
            <w:r w:rsidRPr="00414879">
              <w:rPr>
                <w:sz w:val="20"/>
                <w:szCs w:val="20"/>
              </w:rPr>
              <w:t xml:space="preserve">faculty include </w:t>
            </w:r>
            <w:r w:rsidR="008251E7">
              <w:rPr>
                <w:sz w:val="20"/>
                <w:szCs w:val="20"/>
              </w:rPr>
              <w:t xml:space="preserve">revised </w:t>
            </w:r>
            <w:r w:rsidRPr="00414879">
              <w:rPr>
                <w:sz w:val="20"/>
                <w:szCs w:val="20"/>
              </w:rPr>
              <w:t>assignment</w:t>
            </w:r>
            <w:r w:rsidR="008251E7">
              <w:rPr>
                <w:sz w:val="20"/>
                <w:szCs w:val="20"/>
              </w:rPr>
              <w:t>s</w:t>
            </w:r>
            <w:r w:rsidRPr="00414879">
              <w:rPr>
                <w:sz w:val="20"/>
                <w:szCs w:val="20"/>
              </w:rPr>
              <w:t xml:space="preserve"> in course syllabi</w:t>
            </w:r>
            <w:r w:rsidR="007752C1">
              <w:rPr>
                <w:sz w:val="20"/>
                <w:szCs w:val="20"/>
              </w:rPr>
              <w:t>.</w:t>
            </w:r>
          </w:p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-Students deposit work</w:t>
            </w:r>
            <w:r w:rsidR="007752C1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345B73" w:rsidRPr="00414879" w:rsidRDefault="002D34FB" w:rsidP="00345B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Conduct n</w:t>
            </w:r>
            <w:r w:rsidR="00345B73" w:rsidRPr="00414879">
              <w:rPr>
                <w:sz w:val="20"/>
                <w:szCs w:val="20"/>
              </w:rPr>
              <w:t xml:space="preserve">orming </w:t>
            </w:r>
            <w:r>
              <w:rPr>
                <w:sz w:val="20"/>
                <w:szCs w:val="20"/>
              </w:rPr>
              <w:t>s</w:t>
            </w:r>
            <w:r w:rsidR="00345B73" w:rsidRPr="00414879">
              <w:rPr>
                <w:sz w:val="20"/>
                <w:szCs w:val="20"/>
              </w:rPr>
              <w:t xml:space="preserve">ession and </w:t>
            </w:r>
            <w:r w:rsidR="007752C1">
              <w:rPr>
                <w:sz w:val="20"/>
                <w:szCs w:val="20"/>
              </w:rPr>
              <w:t>score student work.</w:t>
            </w:r>
          </w:p>
          <w:p w:rsidR="007752C1" w:rsidRDefault="007752C1" w:rsidP="00345B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-Analyze results </w:t>
            </w:r>
            <w:r w:rsidRPr="00414879">
              <w:rPr>
                <w:sz w:val="20"/>
                <w:szCs w:val="20"/>
              </w:rPr>
              <w:t>to determi</w:t>
            </w:r>
            <w:r>
              <w:rPr>
                <w:sz w:val="20"/>
                <w:szCs w:val="20"/>
              </w:rPr>
              <w:t>ne how effectively assignment</w:t>
            </w:r>
            <w:r w:rsidR="002D34FB">
              <w:rPr>
                <w:sz w:val="20"/>
                <w:szCs w:val="20"/>
              </w:rPr>
              <w:t>s address</w:t>
            </w:r>
            <w:r>
              <w:rPr>
                <w:sz w:val="20"/>
                <w:szCs w:val="20"/>
              </w:rPr>
              <w:t xml:space="preserve"> all dimensions of the rubric/s.</w:t>
            </w:r>
            <w:r w:rsidRPr="00414879">
              <w:rPr>
                <w:sz w:val="20"/>
                <w:szCs w:val="20"/>
              </w:rPr>
              <w:t xml:space="preserve"> </w:t>
            </w:r>
          </w:p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 Revise assignments as needed</w:t>
            </w:r>
            <w:r w:rsidR="007752C1">
              <w:rPr>
                <w:sz w:val="20"/>
                <w:szCs w:val="20"/>
              </w:rPr>
              <w:t>.</w:t>
            </w:r>
          </w:p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-Select</w:t>
            </w:r>
            <w:r w:rsidR="00414879">
              <w:rPr>
                <w:sz w:val="20"/>
                <w:szCs w:val="20"/>
              </w:rPr>
              <w:t xml:space="preserve">ed </w:t>
            </w:r>
            <w:r w:rsidRPr="00414879">
              <w:rPr>
                <w:sz w:val="20"/>
                <w:szCs w:val="20"/>
              </w:rPr>
              <w:t>faculty include assignment</w:t>
            </w:r>
            <w:r w:rsidR="008251E7">
              <w:rPr>
                <w:sz w:val="20"/>
                <w:szCs w:val="20"/>
              </w:rPr>
              <w:t>s</w:t>
            </w:r>
            <w:r w:rsidRPr="00414879">
              <w:rPr>
                <w:sz w:val="20"/>
                <w:szCs w:val="20"/>
              </w:rPr>
              <w:t xml:space="preserve"> in course syllabi</w:t>
            </w:r>
            <w:r w:rsidR="007752C1">
              <w:rPr>
                <w:sz w:val="20"/>
                <w:szCs w:val="20"/>
              </w:rPr>
              <w:t>.</w:t>
            </w:r>
          </w:p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-Students deposit work</w:t>
            </w:r>
            <w:r w:rsidR="007752C1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345B73" w:rsidRPr="00414879" w:rsidRDefault="008251E7" w:rsidP="00345B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Conduct no</w:t>
            </w:r>
            <w:r w:rsidR="00345B73" w:rsidRPr="00414879">
              <w:rPr>
                <w:sz w:val="20"/>
                <w:szCs w:val="20"/>
              </w:rPr>
              <w:t xml:space="preserve">rming </w:t>
            </w:r>
            <w:r>
              <w:rPr>
                <w:sz w:val="20"/>
                <w:szCs w:val="20"/>
              </w:rPr>
              <w:t>s</w:t>
            </w:r>
            <w:r w:rsidR="00345B73" w:rsidRPr="00414879">
              <w:rPr>
                <w:sz w:val="20"/>
                <w:szCs w:val="20"/>
              </w:rPr>
              <w:t xml:space="preserve">ession and </w:t>
            </w:r>
            <w:r w:rsidR="007752C1">
              <w:rPr>
                <w:sz w:val="20"/>
                <w:szCs w:val="20"/>
              </w:rPr>
              <w:t xml:space="preserve">score </w:t>
            </w:r>
            <w:r w:rsidR="00345B73" w:rsidRPr="00414879">
              <w:rPr>
                <w:sz w:val="20"/>
                <w:szCs w:val="20"/>
              </w:rPr>
              <w:t>student work</w:t>
            </w:r>
            <w:r w:rsidR="007752C1">
              <w:rPr>
                <w:sz w:val="20"/>
                <w:szCs w:val="20"/>
              </w:rPr>
              <w:t>.</w:t>
            </w:r>
          </w:p>
          <w:p w:rsidR="00345B73" w:rsidRPr="00414879" w:rsidRDefault="007752C1" w:rsidP="00345B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Analyze results </w:t>
            </w:r>
            <w:r w:rsidRPr="00414879">
              <w:rPr>
                <w:sz w:val="20"/>
                <w:szCs w:val="20"/>
              </w:rPr>
              <w:t>to determi</w:t>
            </w:r>
            <w:r>
              <w:rPr>
                <w:sz w:val="20"/>
                <w:szCs w:val="20"/>
              </w:rPr>
              <w:t>ne how effectively assignment</w:t>
            </w:r>
            <w:r w:rsidR="008251E7">
              <w:rPr>
                <w:sz w:val="20"/>
                <w:szCs w:val="20"/>
              </w:rPr>
              <w:t>s address</w:t>
            </w:r>
            <w:r>
              <w:rPr>
                <w:sz w:val="20"/>
                <w:szCs w:val="20"/>
              </w:rPr>
              <w:t xml:space="preserve"> all dimensions of the rubric/s.</w:t>
            </w:r>
            <w:r w:rsidRPr="00414879">
              <w:rPr>
                <w:sz w:val="20"/>
                <w:szCs w:val="20"/>
              </w:rPr>
              <w:t xml:space="preserve"> </w:t>
            </w:r>
            <w:r w:rsidR="00345B73" w:rsidRPr="00414879">
              <w:rPr>
                <w:sz w:val="20"/>
                <w:szCs w:val="20"/>
              </w:rPr>
              <w:t>If results indicate that assignment</w:t>
            </w:r>
            <w:r w:rsidR="008251E7">
              <w:rPr>
                <w:sz w:val="20"/>
                <w:szCs w:val="20"/>
              </w:rPr>
              <w:t>s effectively address</w:t>
            </w:r>
            <w:r w:rsidR="00345B73" w:rsidRPr="00414879">
              <w:rPr>
                <w:sz w:val="20"/>
                <w:szCs w:val="20"/>
              </w:rPr>
              <w:t xml:space="preserve"> t</w:t>
            </w:r>
            <w:r w:rsidR="00065376" w:rsidRPr="00414879">
              <w:rPr>
                <w:sz w:val="20"/>
                <w:szCs w:val="20"/>
              </w:rPr>
              <w:t xml:space="preserve">he rubric, process is completed. </w:t>
            </w:r>
            <w:r>
              <w:rPr>
                <w:sz w:val="20"/>
                <w:szCs w:val="20"/>
              </w:rPr>
              <w:t>If not, continue revising and testing process.</w:t>
            </w:r>
          </w:p>
          <w:p w:rsidR="00345B73" w:rsidRPr="00414879" w:rsidRDefault="00345B73" w:rsidP="00414879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 xml:space="preserve">- Prepare plan </w:t>
            </w:r>
            <w:r w:rsidR="00065376" w:rsidRPr="00414879">
              <w:rPr>
                <w:sz w:val="20"/>
                <w:szCs w:val="20"/>
              </w:rPr>
              <w:t xml:space="preserve">and budget </w:t>
            </w:r>
            <w:r w:rsidRPr="00414879">
              <w:rPr>
                <w:sz w:val="20"/>
                <w:szCs w:val="20"/>
              </w:rPr>
              <w:t>for disseminating assignment</w:t>
            </w:r>
            <w:r w:rsidR="008251E7">
              <w:rPr>
                <w:sz w:val="20"/>
                <w:szCs w:val="20"/>
              </w:rPr>
              <w:t xml:space="preserve">s as </w:t>
            </w:r>
            <w:r w:rsidRPr="00414879">
              <w:rPr>
                <w:sz w:val="20"/>
                <w:szCs w:val="20"/>
              </w:rPr>
              <w:t>sample</w:t>
            </w:r>
            <w:r w:rsidR="008251E7">
              <w:rPr>
                <w:sz w:val="20"/>
                <w:szCs w:val="20"/>
              </w:rPr>
              <w:t>s</w:t>
            </w:r>
            <w:r w:rsidRPr="00414879">
              <w:rPr>
                <w:sz w:val="20"/>
                <w:szCs w:val="20"/>
              </w:rPr>
              <w:t xml:space="preserve"> for full and part-time faculty to use in courses designated for depositing. </w:t>
            </w:r>
          </w:p>
        </w:tc>
      </w:tr>
    </w:tbl>
    <w:p w:rsidR="00345B73" w:rsidRPr="00414879" w:rsidRDefault="00345B73" w:rsidP="00345B73">
      <w:pPr>
        <w:rPr>
          <w:sz w:val="20"/>
          <w:szCs w:val="20"/>
        </w:rPr>
      </w:pPr>
    </w:p>
    <w:p w:rsidR="00345B73" w:rsidRPr="00414879" w:rsidRDefault="00345B73" w:rsidP="00414879">
      <w:pPr>
        <w:jc w:val="center"/>
        <w:rPr>
          <w:b/>
          <w:sz w:val="20"/>
          <w:szCs w:val="20"/>
        </w:rPr>
      </w:pPr>
      <w:r w:rsidRPr="00414879">
        <w:rPr>
          <w:b/>
          <w:sz w:val="20"/>
          <w:szCs w:val="20"/>
        </w:rPr>
        <w:t>Sample Timeline 2</w:t>
      </w:r>
    </w:p>
    <w:tbl>
      <w:tblPr>
        <w:tblStyle w:val="TableGrid"/>
        <w:tblW w:w="14371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3703"/>
        <w:gridCol w:w="2880"/>
        <w:gridCol w:w="2970"/>
        <w:gridCol w:w="1980"/>
        <w:gridCol w:w="2838"/>
      </w:tblGrid>
      <w:tr w:rsidR="00414879" w:rsidRPr="00414879" w:rsidTr="00414879">
        <w:tc>
          <w:tcPr>
            <w:tcW w:w="3703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 xml:space="preserve">Fall </w:t>
            </w:r>
            <w:r w:rsidR="00414879" w:rsidRPr="00414879">
              <w:rPr>
                <w:sz w:val="20"/>
                <w:szCs w:val="20"/>
              </w:rPr>
              <w:t xml:space="preserve">I </w:t>
            </w:r>
            <w:r w:rsidRPr="00414879">
              <w:rPr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Fall II 2017</w:t>
            </w:r>
          </w:p>
        </w:tc>
        <w:tc>
          <w:tcPr>
            <w:tcW w:w="2970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Spring I 2018</w:t>
            </w:r>
          </w:p>
        </w:tc>
        <w:tc>
          <w:tcPr>
            <w:tcW w:w="1980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Spring II 2018</w:t>
            </w:r>
          </w:p>
        </w:tc>
        <w:tc>
          <w:tcPr>
            <w:tcW w:w="2838" w:type="dxa"/>
          </w:tcPr>
          <w:p w:rsidR="00345B73" w:rsidRPr="00414879" w:rsidRDefault="00345B73" w:rsidP="00345B73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Fall 2018</w:t>
            </w:r>
          </w:p>
        </w:tc>
      </w:tr>
      <w:tr w:rsidR="008251E7" w:rsidRPr="00414879" w:rsidTr="00414879">
        <w:trPr>
          <w:trHeight w:val="3590"/>
        </w:trPr>
        <w:tc>
          <w:tcPr>
            <w:tcW w:w="3703" w:type="dxa"/>
          </w:tcPr>
          <w:p w:rsidR="008251E7" w:rsidRPr="00414879" w:rsidRDefault="008251E7" w:rsidP="008251E7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 xml:space="preserve">-Review course and program objectives to determine effective alignment with </w:t>
            </w:r>
            <w:r>
              <w:rPr>
                <w:sz w:val="20"/>
                <w:szCs w:val="20"/>
              </w:rPr>
              <w:t>Core Competencies and Abilities.</w:t>
            </w:r>
          </w:p>
          <w:p w:rsidR="008251E7" w:rsidRPr="00414879" w:rsidRDefault="008251E7" w:rsidP="008251E7">
            <w:pPr>
              <w:pStyle w:val="ListParagraph"/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-Adjust curricular maps as needed</w:t>
            </w:r>
            <w:r>
              <w:rPr>
                <w:sz w:val="20"/>
                <w:szCs w:val="20"/>
              </w:rPr>
              <w:t>.</w:t>
            </w:r>
          </w:p>
          <w:p w:rsidR="008251E7" w:rsidRDefault="008251E7" w:rsidP="008251E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-Conduct norming s</w:t>
            </w:r>
            <w:r w:rsidRPr="00414879">
              <w:rPr>
                <w:sz w:val="20"/>
                <w:szCs w:val="20"/>
              </w:rPr>
              <w:t xml:space="preserve">ession and </w:t>
            </w:r>
            <w:r>
              <w:rPr>
                <w:sz w:val="20"/>
                <w:szCs w:val="20"/>
              </w:rPr>
              <w:t>score</w:t>
            </w:r>
            <w:r w:rsidRPr="00414879">
              <w:rPr>
                <w:sz w:val="20"/>
                <w:szCs w:val="20"/>
              </w:rPr>
              <w:t xml:space="preserve"> student work deposited in Spring 2017</w:t>
            </w:r>
            <w:r>
              <w:rPr>
                <w:sz w:val="20"/>
                <w:szCs w:val="20"/>
              </w:rPr>
              <w:t>.</w:t>
            </w:r>
            <w:r w:rsidRPr="00414879">
              <w:rPr>
                <w:sz w:val="20"/>
                <w:szCs w:val="20"/>
              </w:rPr>
              <w:t xml:space="preserve"> </w:t>
            </w:r>
          </w:p>
          <w:p w:rsidR="008251E7" w:rsidRPr="00414879" w:rsidRDefault="008251E7" w:rsidP="008251E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Analyze results </w:t>
            </w:r>
            <w:r w:rsidRPr="00414879">
              <w:rPr>
                <w:sz w:val="20"/>
                <w:szCs w:val="20"/>
              </w:rPr>
              <w:t>to determi</w:t>
            </w:r>
            <w:r>
              <w:rPr>
                <w:sz w:val="20"/>
                <w:szCs w:val="20"/>
              </w:rPr>
              <w:t>ne how effectively assignments address all dimensions of the rubric/s.</w:t>
            </w:r>
            <w:r w:rsidRPr="00414879">
              <w:rPr>
                <w:sz w:val="20"/>
                <w:szCs w:val="20"/>
              </w:rPr>
              <w:t xml:space="preserve"> </w:t>
            </w:r>
          </w:p>
          <w:p w:rsidR="008251E7" w:rsidRDefault="008251E7" w:rsidP="008251E7">
            <w:pPr>
              <w:pStyle w:val="ListParagraph"/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 xml:space="preserve">-Revise assignments in preparation for </w:t>
            </w:r>
          </w:p>
          <w:p w:rsidR="008251E7" w:rsidRPr="00414879" w:rsidRDefault="008251E7" w:rsidP="008251E7">
            <w:pPr>
              <w:pStyle w:val="ListParagraph"/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Fall</w:t>
            </w:r>
            <w:r>
              <w:rPr>
                <w:sz w:val="20"/>
                <w:szCs w:val="20"/>
              </w:rPr>
              <w:t xml:space="preserve"> II </w:t>
            </w:r>
            <w:r w:rsidRPr="00414879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8251E7" w:rsidRPr="00414879" w:rsidRDefault="008251E7" w:rsidP="008251E7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Selected </w:t>
            </w:r>
            <w:r w:rsidRPr="00414879">
              <w:rPr>
                <w:sz w:val="20"/>
                <w:szCs w:val="20"/>
              </w:rPr>
              <w:t xml:space="preserve">faculty include </w:t>
            </w:r>
            <w:r>
              <w:rPr>
                <w:sz w:val="20"/>
                <w:szCs w:val="20"/>
              </w:rPr>
              <w:t xml:space="preserve">revised </w:t>
            </w:r>
            <w:r w:rsidRPr="00414879">
              <w:rPr>
                <w:sz w:val="20"/>
                <w:szCs w:val="20"/>
              </w:rPr>
              <w:t>assignment</w:t>
            </w:r>
            <w:r>
              <w:rPr>
                <w:sz w:val="20"/>
                <w:szCs w:val="20"/>
              </w:rPr>
              <w:t>s</w:t>
            </w:r>
            <w:r w:rsidRPr="00414879">
              <w:rPr>
                <w:sz w:val="20"/>
                <w:szCs w:val="20"/>
              </w:rPr>
              <w:t xml:space="preserve"> in course syllabi</w:t>
            </w:r>
            <w:r>
              <w:rPr>
                <w:sz w:val="20"/>
                <w:szCs w:val="20"/>
              </w:rPr>
              <w:t>.</w:t>
            </w:r>
          </w:p>
          <w:p w:rsidR="008251E7" w:rsidRPr="00414879" w:rsidRDefault="008251E7" w:rsidP="008251E7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-Students deposit 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8251E7" w:rsidRPr="00414879" w:rsidRDefault="008251E7" w:rsidP="008251E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Conduct n</w:t>
            </w:r>
            <w:r w:rsidRPr="00414879">
              <w:rPr>
                <w:sz w:val="20"/>
                <w:szCs w:val="20"/>
              </w:rPr>
              <w:t xml:space="preserve">orming </w:t>
            </w:r>
            <w:r>
              <w:rPr>
                <w:sz w:val="20"/>
                <w:szCs w:val="20"/>
              </w:rPr>
              <w:t>s</w:t>
            </w:r>
            <w:r w:rsidRPr="00414879">
              <w:rPr>
                <w:sz w:val="20"/>
                <w:szCs w:val="20"/>
              </w:rPr>
              <w:t xml:space="preserve">ession and </w:t>
            </w:r>
            <w:r>
              <w:rPr>
                <w:sz w:val="20"/>
                <w:szCs w:val="20"/>
              </w:rPr>
              <w:t>score student work.</w:t>
            </w:r>
          </w:p>
          <w:p w:rsidR="008251E7" w:rsidRDefault="008251E7" w:rsidP="008251E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-Analyze results </w:t>
            </w:r>
            <w:r w:rsidRPr="00414879">
              <w:rPr>
                <w:sz w:val="20"/>
                <w:szCs w:val="20"/>
              </w:rPr>
              <w:t>to determi</w:t>
            </w:r>
            <w:r>
              <w:rPr>
                <w:sz w:val="20"/>
                <w:szCs w:val="20"/>
              </w:rPr>
              <w:t>ne how effectively assignments address all dimensions of the rubric/s.</w:t>
            </w:r>
            <w:r w:rsidRPr="00414879">
              <w:rPr>
                <w:sz w:val="20"/>
                <w:szCs w:val="20"/>
              </w:rPr>
              <w:t xml:space="preserve"> </w:t>
            </w:r>
          </w:p>
          <w:p w:rsidR="008251E7" w:rsidRPr="00414879" w:rsidRDefault="008251E7" w:rsidP="008251E7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 Revise assignments as needed</w:t>
            </w:r>
            <w:r>
              <w:rPr>
                <w:sz w:val="20"/>
                <w:szCs w:val="20"/>
              </w:rPr>
              <w:t>.</w:t>
            </w:r>
          </w:p>
          <w:p w:rsidR="008251E7" w:rsidRPr="00414879" w:rsidRDefault="008251E7" w:rsidP="008251E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251E7" w:rsidRPr="00414879" w:rsidRDefault="008251E7" w:rsidP="008251E7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-Select</w:t>
            </w:r>
            <w:r>
              <w:rPr>
                <w:sz w:val="20"/>
                <w:szCs w:val="20"/>
              </w:rPr>
              <w:t xml:space="preserve">ed </w:t>
            </w:r>
            <w:r w:rsidRPr="00414879">
              <w:rPr>
                <w:sz w:val="20"/>
                <w:szCs w:val="20"/>
              </w:rPr>
              <w:t>faculty include assignment</w:t>
            </w:r>
            <w:r>
              <w:rPr>
                <w:sz w:val="20"/>
                <w:szCs w:val="20"/>
              </w:rPr>
              <w:t>s</w:t>
            </w:r>
            <w:r w:rsidRPr="00414879">
              <w:rPr>
                <w:sz w:val="20"/>
                <w:szCs w:val="20"/>
              </w:rPr>
              <w:t xml:space="preserve"> in course syllabi</w:t>
            </w:r>
            <w:r>
              <w:rPr>
                <w:sz w:val="20"/>
                <w:szCs w:val="20"/>
              </w:rPr>
              <w:t>.</w:t>
            </w:r>
          </w:p>
          <w:p w:rsidR="008251E7" w:rsidRPr="00414879" w:rsidRDefault="008251E7" w:rsidP="008251E7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-Students deposit 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8" w:type="dxa"/>
          </w:tcPr>
          <w:p w:rsidR="008251E7" w:rsidRPr="00414879" w:rsidRDefault="008251E7" w:rsidP="008251E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Conduct no</w:t>
            </w:r>
            <w:r w:rsidRPr="00414879">
              <w:rPr>
                <w:sz w:val="20"/>
                <w:szCs w:val="20"/>
              </w:rPr>
              <w:t xml:space="preserve">rming </w:t>
            </w:r>
            <w:r>
              <w:rPr>
                <w:sz w:val="20"/>
                <w:szCs w:val="20"/>
              </w:rPr>
              <w:t>s</w:t>
            </w:r>
            <w:r w:rsidRPr="00414879">
              <w:rPr>
                <w:sz w:val="20"/>
                <w:szCs w:val="20"/>
              </w:rPr>
              <w:t xml:space="preserve">ession and </w:t>
            </w:r>
            <w:r>
              <w:rPr>
                <w:sz w:val="20"/>
                <w:szCs w:val="20"/>
              </w:rPr>
              <w:t xml:space="preserve">score </w:t>
            </w:r>
            <w:r w:rsidRPr="00414879">
              <w:rPr>
                <w:sz w:val="20"/>
                <w:szCs w:val="20"/>
              </w:rPr>
              <w:t>student work</w:t>
            </w:r>
            <w:r>
              <w:rPr>
                <w:sz w:val="20"/>
                <w:szCs w:val="20"/>
              </w:rPr>
              <w:t>.</w:t>
            </w:r>
          </w:p>
          <w:p w:rsidR="008251E7" w:rsidRPr="00414879" w:rsidRDefault="008251E7" w:rsidP="008251E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Analyze results </w:t>
            </w:r>
            <w:r w:rsidRPr="00414879">
              <w:rPr>
                <w:sz w:val="20"/>
                <w:szCs w:val="20"/>
              </w:rPr>
              <w:t>to determi</w:t>
            </w:r>
            <w:r>
              <w:rPr>
                <w:sz w:val="20"/>
                <w:szCs w:val="20"/>
              </w:rPr>
              <w:t>ne how effectively assignments address all dimensions of the rubric/s.</w:t>
            </w:r>
            <w:r w:rsidRPr="00414879">
              <w:rPr>
                <w:sz w:val="20"/>
                <w:szCs w:val="20"/>
              </w:rPr>
              <w:t xml:space="preserve"> If results indicate that assignment</w:t>
            </w:r>
            <w:r>
              <w:rPr>
                <w:sz w:val="20"/>
                <w:szCs w:val="20"/>
              </w:rPr>
              <w:t>s effectively address</w:t>
            </w:r>
            <w:r w:rsidRPr="00414879">
              <w:rPr>
                <w:sz w:val="20"/>
                <w:szCs w:val="20"/>
              </w:rPr>
              <w:t xml:space="preserve"> the rubric, process is completed. </w:t>
            </w:r>
            <w:r>
              <w:rPr>
                <w:sz w:val="20"/>
                <w:szCs w:val="20"/>
              </w:rPr>
              <w:t>If not, continue revising and testing process.</w:t>
            </w:r>
          </w:p>
          <w:p w:rsidR="008251E7" w:rsidRPr="00414879" w:rsidRDefault="008251E7" w:rsidP="008251E7">
            <w:pPr>
              <w:ind w:left="0"/>
              <w:rPr>
                <w:sz w:val="20"/>
                <w:szCs w:val="20"/>
              </w:rPr>
            </w:pPr>
            <w:r w:rsidRPr="00414879">
              <w:rPr>
                <w:sz w:val="20"/>
                <w:szCs w:val="20"/>
              </w:rPr>
              <w:t>- Prepare plan and budget for disseminating assignment</w:t>
            </w:r>
            <w:r>
              <w:rPr>
                <w:sz w:val="20"/>
                <w:szCs w:val="20"/>
              </w:rPr>
              <w:t xml:space="preserve">s as </w:t>
            </w:r>
            <w:r w:rsidRPr="00414879">
              <w:rPr>
                <w:sz w:val="20"/>
                <w:szCs w:val="20"/>
              </w:rPr>
              <w:t>sample</w:t>
            </w:r>
            <w:r>
              <w:rPr>
                <w:sz w:val="20"/>
                <w:szCs w:val="20"/>
              </w:rPr>
              <w:t>s</w:t>
            </w:r>
            <w:r w:rsidRPr="00414879">
              <w:rPr>
                <w:sz w:val="20"/>
                <w:szCs w:val="20"/>
              </w:rPr>
              <w:t xml:space="preserve"> for full and part-time faculty to use in courses designated for depositing. </w:t>
            </w:r>
          </w:p>
        </w:tc>
      </w:tr>
    </w:tbl>
    <w:p w:rsidR="00345B73" w:rsidRDefault="00345B73" w:rsidP="00345B73"/>
    <w:sectPr w:rsidR="00345B73" w:rsidSect="00414879"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F6" w:rsidRDefault="008218F6">
      <w:pPr>
        <w:spacing w:before="0" w:after="0"/>
      </w:pPr>
      <w:r>
        <w:separator/>
      </w:r>
    </w:p>
  </w:endnote>
  <w:endnote w:type="continuationSeparator" w:id="0">
    <w:p w:rsidR="008218F6" w:rsidRDefault="008218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80" w:rsidRDefault="00C94380" w:rsidP="00F03F0F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F6" w:rsidRDefault="008218F6">
      <w:pPr>
        <w:spacing w:before="0" w:after="0"/>
      </w:pPr>
      <w:r>
        <w:separator/>
      </w:r>
    </w:p>
  </w:footnote>
  <w:footnote w:type="continuationSeparator" w:id="0">
    <w:p w:rsidR="008218F6" w:rsidRDefault="008218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95E38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E1A2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3544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2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A8ED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A718B3"/>
    <w:multiLevelType w:val="hybridMultilevel"/>
    <w:tmpl w:val="9822FE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AE288E"/>
    <w:multiLevelType w:val="hybridMultilevel"/>
    <w:tmpl w:val="1ABE55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5F5ACF"/>
    <w:multiLevelType w:val="hybridMultilevel"/>
    <w:tmpl w:val="EAE03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492634"/>
    <w:multiLevelType w:val="hybridMultilevel"/>
    <w:tmpl w:val="893E8C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80A89"/>
    <w:multiLevelType w:val="hybridMultilevel"/>
    <w:tmpl w:val="CB8C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C74EF"/>
    <w:multiLevelType w:val="multilevel"/>
    <w:tmpl w:val="B168954E"/>
    <w:numStyleLink w:val="Style1"/>
  </w:abstractNum>
  <w:abstractNum w:abstractNumId="11">
    <w:nsid w:val="1B4E441F"/>
    <w:multiLevelType w:val="hybridMultilevel"/>
    <w:tmpl w:val="04D25046"/>
    <w:lvl w:ilvl="0" w:tplc="4DD668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B3621"/>
    <w:multiLevelType w:val="hybridMultilevel"/>
    <w:tmpl w:val="F7D0A66E"/>
    <w:lvl w:ilvl="0" w:tplc="3418E2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B67CF"/>
    <w:multiLevelType w:val="hybridMultilevel"/>
    <w:tmpl w:val="3996B77E"/>
    <w:lvl w:ilvl="0" w:tplc="BCB29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4B87"/>
    <w:multiLevelType w:val="hybridMultilevel"/>
    <w:tmpl w:val="6FD479B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BB15447"/>
    <w:multiLevelType w:val="hybridMultilevel"/>
    <w:tmpl w:val="B9162C6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3C5413D"/>
    <w:multiLevelType w:val="hybridMultilevel"/>
    <w:tmpl w:val="27B6E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C42A37"/>
    <w:multiLevelType w:val="hybridMultilevel"/>
    <w:tmpl w:val="775094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757490"/>
    <w:multiLevelType w:val="hybridMultilevel"/>
    <w:tmpl w:val="EEF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F0D0E"/>
    <w:multiLevelType w:val="hybridMultilevel"/>
    <w:tmpl w:val="DEF8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44C5"/>
    <w:multiLevelType w:val="multilevel"/>
    <w:tmpl w:val="B168954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2329D"/>
    <w:multiLevelType w:val="hybridMultilevel"/>
    <w:tmpl w:val="7B84DE48"/>
    <w:lvl w:ilvl="0" w:tplc="0DD89B4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01B8F"/>
    <w:multiLevelType w:val="hybridMultilevel"/>
    <w:tmpl w:val="023C2C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034716"/>
    <w:multiLevelType w:val="hybridMultilevel"/>
    <w:tmpl w:val="07246B40"/>
    <w:lvl w:ilvl="0" w:tplc="5DEA3B8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5BC02690"/>
    <w:multiLevelType w:val="hybridMultilevel"/>
    <w:tmpl w:val="5E205CE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0CB1B6F"/>
    <w:multiLevelType w:val="hybridMultilevel"/>
    <w:tmpl w:val="F88C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72022"/>
    <w:multiLevelType w:val="hybridMultilevel"/>
    <w:tmpl w:val="D726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77772"/>
    <w:multiLevelType w:val="hybridMultilevel"/>
    <w:tmpl w:val="D2E6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49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3573370"/>
    <w:multiLevelType w:val="hybridMultilevel"/>
    <w:tmpl w:val="3BF0B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787230"/>
    <w:multiLevelType w:val="hybridMultilevel"/>
    <w:tmpl w:val="5F7EF56E"/>
    <w:lvl w:ilvl="0" w:tplc="C9823EB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18"/>
  </w:num>
  <w:num w:numId="12">
    <w:abstractNumId w:val="26"/>
  </w:num>
  <w:num w:numId="13">
    <w:abstractNumId w:val="22"/>
  </w:num>
  <w:num w:numId="14">
    <w:abstractNumId w:val="29"/>
  </w:num>
  <w:num w:numId="15">
    <w:abstractNumId w:val="6"/>
  </w:num>
  <w:num w:numId="16">
    <w:abstractNumId w:val="5"/>
  </w:num>
  <w:num w:numId="17">
    <w:abstractNumId w:val="24"/>
  </w:num>
  <w:num w:numId="18">
    <w:abstractNumId w:val="19"/>
  </w:num>
  <w:num w:numId="19">
    <w:abstractNumId w:val="17"/>
  </w:num>
  <w:num w:numId="20">
    <w:abstractNumId w:val="16"/>
  </w:num>
  <w:num w:numId="21">
    <w:abstractNumId w:val="30"/>
  </w:num>
  <w:num w:numId="22">
    <w:abstractNumId w:val="12"/>
  </w:num>
  <w:num w:numId="23">
    <w:abstractNumId w:val="23"/>
  </w:num>
  <w:num w:numId="24">
    <w:abstractNumId w:val="27"/>
  </w:num>
  <w:num w:numId="25">
    <w:abstractNumId w:val="15"/>
  </w:num>
  <w:num w:numId="26">
    <w:abstractNumId w:val="9"/>
  </w:num>
  <w:num w:numId="27">
    <w:abstractNumId w:val="10"/>
  </w:num>
  <w:num w:numId="28">
    <w:abstractNumId w:val="20"/>
  </w:num>
  <w:num w:numId="29">
    <w:abstractNumId w:val="28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0F"/>
    <w:rsid w:val="00026EA0"/>
    <w:rsid w:val="00065376"/>
    <w:rsid w:val="000714C7"/>
    <w:rsid w:val="000724B4"/>
    <w:rsid w:val="0010676D"/>
    <w:rsid w:val="00116C50"/>
    <w:rsid w:val="0013140F"/>
    <w:rsid w:val="00166E07"/>
    <w:rsid w:val="00170888"/>
    <w:rsid w:val="00174525"/>
    <w:rsid w:val="001A14F7"/>
    <w:rsid w:val="001B7978"/>
    <w:rsid w:val="001C3BF7"/>
    <w:rsid w:val="001D5655"/>
    <w:rsid w:val="001E3C20"/>
    <w:rsid w:val="00201EFA"/>
    <w:rsid w:val="00204CBE"/>
    <w:rsid w:val="00223ADD"/>
    <w:rsid w:val="00234CD7"/>
    <w:rsid w:val="00240B70"/>
    <w:rsid w:val="002500D6"/>
    <w:rsid w:val="002533A1"/>
    <w:rsid w:val="0025469F"/>
    <w:rsid w:val="002676B2"/>
    <w:rsid w:val="00280CAC"/>
    <w:rsid w:val="00282096"/>
    <w:rsid w:val="002B1850"/>
    <w:rsid w:val="002B3841"/>
    <w:rsid w:val="002D34FB"/>
    <w:rsid w:val="002F4111"/>
    <w:rsid w:val="00300D7B"/>
    <w:rsid w:val="0030180D"/>
    <w:rsid w:val="003033A4"/>
    <w:rsid w:val="00335338"/>
    <w:rsid w:val="00340ECF"/>
    <w:rsid w:val="00345B73"/>
    <w:rsid w:val="0035332F"/>
    <w:rsid w:val="00381116"/>
    <w:rsid w:val="00392588"/>
    <w:rsid w:val="00395161"/>
    <w:rsid w:val="003F097F"/>
    <w:rsid w:val="003F2167"/>
    <w:rsid w:val="00414879"/>
    <w:rsid w:val="00420959"/>
    <w:rsid w:val="00420E04"/>
    <w:rsid w:val="00422000"/>
    <w:rsid w:val="0045369F"/>
    <w:rsid w:val="00465672"/>
    <w:rsid w:val="0049322F"/>
    <w:rsid w:val="00504027"/>
    <w:rsid w:val="005115D4"/>
    <w:rsid w:val="00515163"/>
    <w:rsid w:val="005831A2"/>
    <w:rsid w:val="005A6F5D"/>
    <w:rsid w:val="005E6CA4"/>
    <w:rsid w:val="00602478"/>
    <w:rsid w:val="00632394"/>
    <w:rsid w:val="00637C87"/>
    <w:rsid w:val="006660B8"/>
    <w:rsid w:val="006762C9"/>
    <w:rsid w:val="006B5DA0"/>
    <w:rsid w:val="006C592B"/>
    <w:rsid w:val="006D6244"/>
    <w:rsid w:val="007068DD"/>
    <w:rsid w:val="00712CDA"/>
    <w:rsid w:val="00721D4D"/>
    <w:rsid w:val="00722008"/>
    <w:rsid w:val="00731A1A"/>
    <w:rsid w:val="00760FB0"/>
    <w:rsid w:val="00766A16"/>
    <w:rsid w:val="007752C1"/>
    <w:rsid w:val="00794DD7"/>
    <w:rsid w:val="007B471A"/>
    <w:rsid w:val="007B4DC7"/>
    <w:rsid w:val="007D757A"/>
    <w:rsid w:val="007E3723"/>
    <w:rsid w:val="007E4B0D"/>
    <w:rsid w:val="008218F6"/>
    <w:rsid w:val="008251E7"/>
    <w:rsid w:val="00884E94"/>
    <w:rsid w:val="008A1C59"/>
    <w:rsid w:val="008C1ED7"/>
    <w:rsid w:val="008D585E"/>
    <w:rsid w:val="008E6E12"/>
    <w:rsid w:val="008F1332"/>
    <w:rsid w:val="00904806"/>
    <w:rsid w:val="0092568A"/>
    <w:rsid w:val="00970B14"/>
    <w:rsid w:val="009B2C82"/>
    <w:rsid w:val="009C4677"/>
    <w:rsid w:val="00A1515B"/>
    <w:rsid w:val="00A27EFB"/>
    <w:rsid w:val="00A7443F"/>
    <w:rsid w:val="00A80DB5"/>
    <w:rsid w:val="00A96E30"/>
    <w:rsid w:val="00AA441A"/>
    <w:rsid w:val="00AB15FC"/>
    <w:rsid w:val="00AC3A8F"/>
    <w:rsid w:val="00AE2700"/>
    <w:rsid w:val="00B451A1"/>
    <w:rsid w:val="00B840F2"/>
    <w:rsid w:val="00BB2FD6"/>
    <w:rsid w:val="00BB4835"/>
    <w:rsid w:val="00BB798C"/>
    <w:rsid w:val="00BD59A2"/>
    <w:rsid w:val="00C01418"/>
    <w:rsid w:val="00C615AD"/>
    <w:rsid w:val="00C77EE8"/>
    <w:rsid w:val="00C81145"/>
    <w:rsid w:val="00C94380"/>
    <w:rsid w:val="00CA6CE8"/>
    <w:rsid w:val="00CB2264"/>
    <w:rsid w:val="00CC568A"/>
    <w:rsid w:val="00D24B1B"/>
    <w:rsid w:val="00DB37B1"/>
    <w:rsid w:val="00DD6114"/>
    <w:rsid w:val="00E00346"/>
    <w:rsid w:val="00E36F88"/>
    <w:rsid w:val="00E4419F"/>
    <w:rsid w:val="00E44D6A"/>
    <w:rsid w:val="00E549B4"/>
    <w:rsid w:val="00E641BC"/>
    <w:rsid w:val="00E707FA"/>
    <w:rsid w:val="00E70ED4"/>
    <w:rsid w:val="00E80227"/>
    <w:rsid w:val="00EB39EB"/>
    <w:rsid w:val="00ED12F1"/>
    <w:rsid w:val="00EE4933"/>
    <w:rsid w:val="00F03F0F"/>
    <w:rsid w:val="00F045DE"/>
    <w:rsid w:val="00F26010"/>
    <w:rsid w:val="00F334DA"/>
    <w:rsid w:val="00F459F2"/>
    <w:rsid w:val="00F60E23"/>
    <w:rsid w:val="00F80E2F"/>
    <w:rsid w:val="00FB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E8A23-A7FE-4D02-990E-EC195EE6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B798C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unhideWhenUsed/>
    <w:qFormat/>
    <w:rsid w:val="00BB798C"/>
    <w:pPr>
      <w:keepNext/>
      <w:keepLines/>
      <w:spacing w:before="40" w:after="40"/>
      <w:outlineLvl w:val="0"/>
    </w:pPr>
    <w:rPr>
      <w:rFonts w:asciiTheme="majorHAnsi" w:eastAsiaTheme="majorEastAsia" w:hAnsiTheme="majorHAnsi" w:cstheme="majorBidi"/>
      <w:color w:val="335B74" w:themeColor="text2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BB798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3">
    <w:name w:val="heading 3"/>
    <w:basedOn w:val="Normal"/>
    <w:next w:val="Normal"/>
    <w:unhideWhenUsed/>
    <w:qFormat/>
    <w:rsid w:val="00BB798C"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BB798C"/>
    <w:pPr>
      <w:spacing w:after="120"/>
      <w:jc w:val="right"/>
    </w:pPr>
    <w:rPr>
      <w:rFonts w:asciiTheme="majorHAnsi" w:eastAsiaTheme="majorEastAsia" w:hAnsiTheme="majorHAnsi" w:cstheme="majorBidi"/>
      <w:color w:val="335B74" w:themeColor="text2"/>
      <w:sz w:val="28"/>
      <w:szCs w:val="28"/>
    </w:rPr>
  </w:style>
  <w:style w:type="paragraph" w:customStyle="1" w:styleId="Logo">
    <w:name w:val="Logo"/>
    <w:basedOn w:val="Normal"/>
    <w:unhideWhenUsed/>
    <w:qFormat/>
    <w:rsid w:val="00BB798C"/>
    <w:pPr>
      <w:spacing w:after="0"/>
      <w:jc w:val="right"/>
    </w:pPr>
    <w:rPr>
      <w:noProof/>
    </w:rPr>
  </w:style>
  <w:style w:type="paragraph" w:styleId="ListBullet">
    <w:name w:val="List Bullet"/>
    <w:basedOn w:val="Normal"/>
    <w:unhideWhenUsed/>
    <w:rsid w:val="00BB798C"/>
    <w:pPr>
      <w:numPr>
        <w:numId w:val="1"/>
      </w:numPr>
      <w:ind w:left="504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79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798C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79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3F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3F0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03F0F"/>
    <w:pPr>
      <w:spacing w:before="0" w:after="160" w:line="259" w:lineRule="auto"/>
      <w:ind w:left="720" w:right="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E04"/>
    <w:pPr>
      <w:spacing w:before="0" w:after="0"/>
      <w:ind w:left="0" w:right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E04"/>
    <w:rPr>
      <w:sz w:val="20"/>
      <w:szCs w:val="20"/>
      <w:lang w:eastAsia="en-US"/>
    </w:rPr>
  </w:style>
  <w:style w:type="numbering" w:customStyle="1" w:styleId="Style1">
    <w:name w:val="Style1"/>
    <w:uiPriority w:val="99"/>
    <w:rsid w:val="00174525"/>
    <w:pPr>
      <w:numPr>
        <w:numId w:val="28"/>
      </w:numPr>
    </w:pPr>
  </w:style>
  <w:style w:type="character" w:styleId="Hyperlink">
    <w:name w:val="Hyperlink"/>
    <w:basedOn w:val="DefaultParagraphFont"/>
    <w:uiPriority w:val="99"/>
    <w:unhideWhenUsed/>
    <w:rsid w:val="00F80E2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oslyno@lagcc.cuny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aguardia.edu/uploadedFiles/Main_Site/Content/Divisions/AA/NEW-PRISCILA/Seminars/2017-18_LM_MiniGrantApplicationBudgetWorksheet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ziehmke\AppData\Roaming\Microsoft\Templates\Due%20diligence%20document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V7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0CFB-B29C-4AE9-8EC7-08D0E7323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3BEB7-D791-4628-9A55-B8F4992D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documentation</Template>
  <TotalTime>0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LaGuardia Community College Outcomes Assessment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Priscilla Stadler</cp:lastModifiedBy>
  <cp:revision>2</cp:revision>
  <cp:lastPrinted>2017-04-05T19:20:00Z</cp:lastPrinted>
  <dcterms:created xsi:type="dcterms:W3CDTF">2017-04-05T19:31:00Z</dcterms:created>
  <dcterms:modified xsi:type="dcterms:W3CDTF">2017-04-05T19:31:00Z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TC034630619991</vt:lpwstr>
  </property>
</Properties>
</file>